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D14" w:rsidRDefault="00B54D14">
      <w:pPr>
        <w:rPr>
          <w:rFonts w:ascii="Bookman Old Style" w:hAnsi="Bookman Old Style"/>
          <w:sz w:val="28"/>
          <w:szCs w:val="28"/>
        </w:rPr>
      </w:pPr>
    </w:p>
    <w:p w:rsidR="00B54D14" w:rsidRDefault="00B54D14" w:rsidP="00B54D14">
      <w:pPr>
        <w:spacing w:after="0" w:line="360" w:lineRule="auto"/>
        <w:jc w:val="center"/>
        <w:rPr>
          <w:rFonts w:ascii="Bookman Old Style" w:hAnsi="Bookman Old Style"/>
          <w:sz w:val="28"/>
          <w:szCs w:val="28"/>
        </w:rPr>
      </w:pPr>
      <w:r w:rsidRPr="00090710">
        <w:rPr>
          <w:noProof/>
          <w:lang w:eastAsia="es-CO"/>
        </w:rPr>
        <w:drawing>
          <wp:inline distT="0" distB="0" distL="0" distR="0" wp14:anchorId="47BB8349" wp14:editId="7FA871EA">
            <wp:extent cx="1981200" cy="1981200"/>
            <wp:effectExtent l="0" t="0" r="0" b="0"/>
            <wp:docPr id="2" name="Imagen 2" descr="C:\Users\ArnulfoSG\Downloads\Logo vertical Juzgamien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nulfoSG\Downloads\Logo vertical Juzgamiento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inline>
        </w:drawing>
      </w:r>
    </w:p>
    <w:p w:rsidR="00B54D14" w:rsidRPr="00B54D14" w:rsidRDefault="00B54D14" w:rsidP="00B54D14">
      <w:pPr>
        <w:jc w:val="center"/>
        <w:rPr>
          <w:rFonts w:ascii="Bookman Old Style" w:hAnsi="Bookman Old Style"/>
          <w:b/>
          <w:sz w:val="28"/>
          <w:szCs w:val="28"/>
        </w:rPr>
      </w:pPr>
      <w:r w:rsidRPr="00B54D14">
        <w:rPr>
          <w:rFonts w:ascii="Bookman Old Style" w:hAnsi="Bookman Old Style"/>
          <w:b/>
          <w:sz w:val="28"/>
          <w:szCs w:val="28"/>
        </w:rPr>
        <w:t>RAMIRO ALONSO MARÍN VÁSQUEZ</w:t>
      </w:r>
    </w:p>
    <w:p w:rsidR="00B54D14" w:rsidRDefault="00B54D14" w:rsidP="00B54D14">
      <w:pPr>
        <w:jc w:val="center"/>
        <w:rPr>
          <w:rFonts w:ascii="Bookman Old Style" w:hAnsi="Bookman Old Style"/>
          <w:sz w:val="28"/>
          <w:szCs w:val="28"/>
        </w:rPr>
      </w:pPr>
      <w:r>
        <w:rPr>
          <w:rFonts w:ascii="Bookman Old Style" w:hAnsi="Bookman Old Style"/>
          <w:sz w:val="28"/>
          <w:szCs w:val="28"/>
        </w:rPr>
        <w:t>Magistrado Ponente</w:t>
      </w:r>
    </w:p>
    <w:p w:rsidR="003E389A" w:rsidRDefault="003E389A" w:rsidP="00B54D14">
      <w:pPr>
        <w:jc w:val="center"/>
        <w:rPr>
          <w:rFonts w:ascii="Bookman Old Style" w:hAnsi="Bookman Old Style"/>
          <w:sz w:val="28"/>
          <w:szCs w:val="28"/>
        </w:rPr>
      </w:pPr>
    </w:p>
    <w:p w:rsidR="00B54D14" w:rsidRDefault="00B54D14" w:rsidP="00B54D14">
      <w:pPr>
        <w:jc w:val="center"/>
        <w:rPr>
          <w:rFonts w:ascii="Bookman Old Style" w:hAnsi="Bookman Old Style"/>
          <w:sz w:val="28"/>
          <w:szCs w:val="28"/>
        </w:rPr>
      </w:pPr>
      <w:r>
        <w:rPr>
          <w:rFonts w:ascii="Bookman Old Style" w:hAnsi="Bookman Old Style"/>
          <w:sz w:val="28"/>
          <w:szCs w:val="28"/>
        </w:rPr>
        <w:t>AEP:</w:t>
      </w:r>
      <w:r w:rsidR="005E4A57">
        <w:rPr>
          <w:rFonts w:ascii="Bookman Old Style" w:hAnsi="Bookman Old Style"/>
          <w:sz w:val="28"/>
          <w:szCs w:val="28"/>
        </w:rPr>
        <w:t xml:space="preserve"> 00056</w:t>
      </w:r>
    </w:p>
    <w:p w:rsidR="00B54D14" w:rsidRDefault="00B54D14" w:rsidP="00B54D14">
      <w:pPr>
        <w:jc w:val="center"/>
        <w:rPr>
          <w:rFonts w:ascii="Bookman Old Style" w:hAnsi="Bookman Old Style"/>
          <w:sz w:val="28"/>
          <w:szCs w:val="28"/>
        </w:rPr>
      </w:pPr>
      <w:r>
        <w:rPr>
          <w:rFonts w:ascii="Bookman Old Style" w:hAnsi="Bookman Old Style"/>
          <w:sz w:val="28"/>
          <w:szCs w:val="28"/>
        </w:rPr>
        <w:t xml:space="preserve">Radicado </w:t>
      </w:r>
      <w:proofErr w:type="spellStart"/>
      <w:r>
        <w:rPr>
          <w:rFonts w:ascii="Bookman Old Style" w:hAnsi="Bookman Old Style"/>
          <w:sz w:val="28"/>
          <w:szCs w:val="28"/>
        </w:rPr>
        <w:t>N°</w:t>
      </w:r>
      <w:proofErr w:type="spellEnd"/>
      <w:r w:rsidR="00CE0C7C">
        <w:rPr>
          <w:rFonts w:ascii="Bookman Old Style" w:hAnsi="Bookman Old Style"/>
          <w:sz w:val="28"/>
          <w:szCs w:val="28"/>
        </w:rPr>
        <w:t xml:space="preserve"> 49379</w:t>
      </w:r>
    </w:p>
    <w:p w:rsidR="00B54D14" w:rsidRDefault="00B54D14" w:rsidP="00B54D14">
      <w:pPr>
        <w:jc w:val="center"/>
        <w:rPr>
          <w:rFonts w:ascii="Bookman Old Style" w:hAnsi="Bookman Old Style"/>
          <w:sz w:val="28"/>
          <w:szCs w:val="28"/>
        </w:rPr>
      </w:pPr>
      <w:r>
        <w:rPr>
          <w:rFonts w:ascii="Bookman Old Style" w:hAnsi="Bookman Old Style"/>
          <w:sz w:val="28"/>
          <w:szCs w:val="28"/>
        </w:rPr>
        <w:t xml:space="preserve">Aprobada Acta </w:t>
      </w:r>
      <w:proofErr w:type="spellStart"/>
      <w:r>
        <w:rPr>
          <w:rFonts w:ascii="Bookman Old Style" w:hAnsi="Bookman Old Style"/>
          <w:sz w:val="28"/>
          <w:szCs w:val="28"/>
        </w:rPr>
        <w:t>N°</w:t>
      </w:r>
      <w:proofErr w:type="spellEnd"/>
      <w:r>
        <w:rPr>
          <w:rFonts w:ascii="Bookman Old Style" w:hAnsi="Bookman Old Style"/>
          <w:sz w:val="28"/>
          <w:szCs w:val="28"/>
        </w:rPr>
        <w:t xml:space="preserve"> </w:t>
      </w:r>
      <w:r w:rsidR="005E4A57">
        <w:rPr>
          <w:rFonts w:ascii="Bookman Old Style" w:hAnsi="Bookman Old Style"/>
          <w:sz w:val="28"/>
          <w:szCs w:val="28"/>
        </w:rPr>
        <w:t>034</w:t>
      </w:r>
    </w:p>
    <w:p w:rsidR="00B54D14" w:rsidRDefault="00B54D14" w:rsidP="00B54D14">
      <w:pPr>
        <w:jc w:val="center"/>
        <w:rPr>
          <w:rFonts w:ascii="Bookman Old Style" w:hAnsi="Bookman Old Style"/>
          <w:sz w:val="28"/>
          <w:szCs w:val="28"/>
        </w:rPr>
      </w:pPr>
    </w:p>
    <w:p w:rsidR="00702668" w:rsidRDefault="00B54D14" w:rsidP="003E389A">
      <w:pPr>
        <w:spacing w:line="360" w:lineRule="auto"/>
        <w:rPr>
          <w:rFonts w:ascii="Bookman Old Style" w:hAnsi="Bookman Old Style"/>
          <w:sz w:val="28"/>
          <w:szCs w:val="28"/>
        </w:rPr>
      </w:pPr>
      <w:r w:rsidRPr="00B54D14">
        <w:rPr>
          <w:rFonts w:ascii="Bookman Old Style" w:hAnsi="Bookman Old Style"/>
          <w:sz w:val="28"/>
          <w:szCs w:val="28"/>
        </w:rPr>
        <w:t xml:space="preserve">Bogotá D.C, noviembre </w:t>
      </w:r>
      <w:r w:rsidR="00ED4842">
        <w:rPr>
          <w:rFonts w:ascii="Bookman Old Style" w:hAnsi="Bookman Old Style"/>
          <w:sz w:val="28"/>
          <w:szCs w:val="28"/>
        </w:rPr>
        <w:t xml:space="preserve">veintiuno </w:t>
      </w:r>
      <w:r w:rsidRPr="00B54D14">
        <w:rPr>
          <w:rFonts w:ascii="Bookman Old Style" w:hAnsi="Bookman Old Style"/>
          <w:sz w:val="28"/>
          <w:szCs w:val="28"/>
        </w:rPr>
        <w:t>de dos mil dieciocho.</w:t>
      </w:r>
    </w:p>
    <w:p w:rsidR="00B54D14" w:rsidRDefault="00B54D14">
      <w:pPr>
        <w:rPr>
          <w:rFonts w:ascii="Bookman Old Style" w:hAnsi="Bookman Old Style"/>
          <w:sz w:val="28"/>
          <w:szCs w:val="28"/>
        </w:rPr>
      </w:pPr>
    </w:p>
    <w:p w:rsidR="00B54D14" w:rsidRDefault="00260357" w:rsidP="003E389A">
      <w:pPr>
        <w:spacing w:line="360" w:lineRule="auto"/>
        <w:jc w:val="both"/>
        <w:rPr>
          <w:rFonts w:ascii="Bookman Old Style" w:hAnsi="Bookman Old Style"/>
          <w:sz w:val="28"/>
          <w:szCs w:val="28"/>
        </w:rPr>
      </w:pPr>
      <w:r>
        <w:rPr>
          <w:rFonts w:ascii="Bookman Old Style" w:hAnsi="Bookman Old Style"/>
          <w:sz w:val="28"/>
          <w:szCs w:val="28"/>
        </w:rPr>
        <w:t xml:space="preserve">En sesión del pasado 29 de octubre, se llevó a cabo la lectura de la decisión por medio de la cual no se accedió al pedido de preclusión, </w:t>
      </w:r>
      <w:r w:rsidR="003E389A">
        <w:rPr>
          <w:rFonts w:ascii="Bookman Old Style" w:hAnsi="Bookman Old Style"/>
          <w:sz w:val="28"/>
          <w:szCs w:val="28"/>
        </w:rPr>
        <w:t>invocado</w:t>
      </w:r>
      <w:r>
        <w:rPr>
          <w:rFonts w:ascii="Bookman Old Style" w:hAnsi="Bookman Old Style"/>
          <w:sz w:val="28"/>
          <w:szCs w:val="28"/>
        </w:rPr>
        <w:t xml:space="preserve"> por </w:t>
      </w:r>
      <w:r w:rsidR="00FD7E26">
        <w:rPr>
          <w:rFonts w:ascii="Bookman Old Style" w:hAnsi="Bookman Old Style"/>
          <w:sz w:val="28"/>
          <w:szCs w:val="28"/>
        </w:rPr>
        <w:t>l</w:t>
      </w:r>
      <w:r>
        <w:rPr>
          <w:rFonts w:ascii="Bookman Old Style" w:hAnsi="Bookman Old Style"/>
          <w:sz w:val="28"/>
          <w:szCs w:val="28"/>
        </w:rPr>
        <w:t xml:space="preserve">a </w:t>
      </w:r>
      <w:r w:rsidR="000F3E91">
        <w:rPr>
          <w:rFonts w:ascii="Bookman Old Style" w:hAnsi="Bookman Old Style"/>
          <w:sz w:val="28"/>
          <w:szCs w:val="28"/>
        </w:rPr>
        <w:t>F</w:t>
      </w:r>
      <w:r w:rsidR="00FD7E26">
        <w:rPr>
          <w:rFonts w:ascii="Bookman Old Style" w:hAnsi="Bookman Old Style"/>
          <w:sz w:val="28"/>
          <w:szCs w:val="28"/>
        </w:rPr>
        <w:t xml:space="preserve">iscal </w:t>
      </w:r>
      <w:r w:rsidR="000F3E91">
        <w:rPr>
          <w:rFonts w:ascii="Bookman Old Style" w:hAnsi="Bookman Old Style"/>
          <w:sz w:val="28"/>
          <w:szCs w:val="28"/>
        </w:rPr>
        <w:t>O</w:t>
      </w:r>
      <w:r w:rsidR="00FD7E26">
        <w:rPr>
          <w:rFonts w:ascii="Bookman Old Style" w:hAnsi="Bookman Old Style"/>
          <w:sz w:val="28"/>
          <w:szCs w:val="28"/>
        </w:rPr>
        <w:t xml:space="preserve">ctava </w:t>
      </w:r>
      <w:r w:rsidR="000F3E91">
        <w:rPr>
          <w:rFonts w:ascii="Bookman Old Style" w:hAnsi="Bookman Old Style"/>
          <w:sz w:val="28"/>
          <w:szCs w:val="28"/>
        </w:rPr>
        <w:t>D</w:t>
      </w:r>
      <w:r>
        <w:rPr>
          <w:rFonts w:ascii="Bookman Old Style" w:hAnsi="Bookman Old Style"/>
          <w:sz w:val="28"/>
          <w:szCs w:val="28"/>
        </w:rPr>
        <w:t xml:space="preserve">elegada </w:t>
      </w:r>
      <w:r w:rsidR="00FD7E26">
        <w:rPr>
          <w:rFonts w:ascii="Bookman Old Style" w:hAnsi="Bookman Old Style"/>
          <w:sz w:val="28"/>
          <w:szCs w:val="28"/>
        </w:rPr>
        <w:t>ante</w:t>
      </w:r>
      <w:r>
        <w:rPr>
          <w:rFonts w:ascii="Bookman Old Style" w:hAnsi="Bookman Old Style"/>
          <w:sz w:val="28"/>
          <w:szCs w:val="28"/>
        </w:rPr>
        <w:t xml:space="preserve"> la </w:t>
      </w:r>
      <w:r w:rsidR="00FD7E26">
        <w:rPr>
          <w:rFonts w:ascii="Bookman Old Style" w:hAnsi="Bookman Old Style"/>
          <w:sz w:val="28"/>
          <w:szCs w:val="28"/>
        </w:rPr>
        <w:t>Corte Suprema de Justicia</w:t>
      </w:r>
      <w:r w:rsidR="003E389A">
        <w:rPr>
          <w:rFonts w:ascii="Bookman Old Style" w:hAnsi="Bookman Old Style"/>
          <w:sz w:val="28"/>
          <w:szCs w:val="28"/>
        </w:rPr>
        <w:t xml:space="preserve">, en relación con la indagación que se viene adelantando en contra del brigadier general </w:t>
      </w:r>
      <w:r w:rsidR="00AF56A9">
        <w:rPr>
          <w:rFonts w:ascii="Bookman Old Style" w:hAnsi="Bookman Old Style"/>
          <w:sz w:val="28"/>
          <w:szCs w:val="28"/>
        </w:rPr>
        <w:t>Ricardo Gómez Nieto, por la presunta conducta punible prevista en el artículo 408 del Código Sustantivo Penal.</w:t>
      </w:r>
    </w:p>
    <w:p w:rsidR="00AF56A9" w:rsidRDefault="00AF56A9" w:rsidP="003E389A">
      <w:pPr>
        <w:spacing w:line="360" w:lineRule="auto"/>
        <w:jc w:val="both"/>
        <w:rPr>
          <w:rFonts w:ascii="Bookman Old Style" w:hAnsi="Bookman Old Style"/>
          <w:sz w:val="28"/>
          <w:szCs w:val="28"/>
        </w:rPr>
      </w:pPr>
    </w:p>
    <w:p w:rsidR="00AF56A9" w:rsidRDefault="00AF56A9" w:rsidP="003E389A">
      <w:pPr>
        <w:spacing w:line="360" w:lineRule="auto"/>
        <w:jc w:val="both"/>
        <w:rPr>
          <w:rFonts w:ascii="Bookman Old Style" w:hAnsi="Bookman Old Style"/>
          <w:sz w:val="28"/>
          <w:szCs w:val="28"/>
        </w:rPr>
      </w:pPr>
      <w:r>
        <w:rPr>
          <w:rFonts w:ascii="Bookman Old Style" w:hAnsi="Bookman Old Style"/>
          <w:sz w:val="28"/>
          <w:szCs w:val="28"/>
        </w:rPr>
        <w:t xml:space="preserve">Al final de </w:t>
      </w:r>
      <w:proofErr w:type="gramStart"/>
      <w:r>
        <w:rPr>
          <w:rFonts w:ascii="Bookman Old Style" w:hAnsi="Bookman Old Style"/>
          <w:sz w:val="28"/>
          <w:szCs w:val="28"/>
        </w:rPr>
        <w:t>la misma</w:t>
      </w:r>
      <w:proofErr w:type="gramEnd"/>
      <w:r>
        <w:rPr>
          <w:rFonts w:ascii="Bookman Old Style" w:hAnsi="Bookman Old Style"/>
          <w:sz w:val="28"/>
          <w:szCs w:val="28"/>
        </w:rPr>
        <w:t>, tanto la representante del ente acusador, como la defensa del investigado, interpusieron el recurso de apelación</w:t>
      </w:r>
      <w:r w:rsidR="00FD7E26">
        <w:rPr>
          <w:rFonts w:ascii="Bookman Old Style" w:hAnsi="Bookman Old Style"/>
          <w:sz w:val="28"/>
          <w:szCs w:val="28"/>
        </w:rPr>
        <w:t xml:space="preserve"> y</w:t>
      </w:r>
      <w:r>
        <w:rPr>
          <w:rFonts w:ascii="Bookman Old Style" w:hAnsi="Bookman Old Style"/>
          <w:sz w:val="28"/>
          <w:szCs w:val="28"/>
        </w:rPr>
        <w:t xml:space="preserve"> procedie</w:t>
      </w:r>
      <w:r w:rsidR="00FD7E26">
        <w:rPr>
          <w:rFonts w:ascii="Bookman Old Style" w:hAnsi="Bookman Old Style"/>
          <w:sz w:val="28"/>
          <w:szCs w:val="28"/>
        </w:rPr>
        <w:t>ron</w:t>
      </w:r>
      <w:r>
        <w:rPr>
          <w:rFonts w:ascii="Bookman Old Style" w:hAnsi="Bookman Old Style"/>
          <w:sz w:val="28"/>
          <w:szCs w:val="28"/>
        </w:rPr>
        <w:t xml:space="preserve"> seguidamente a la </w:t>
      </w:r>
      <w:r w:rsidR="00E71664">
        <w:rPr>
          <w:rFonts w:ascii="Bookman Old Style" w:hAnsi="Bookman Old Style"/>
          <w:sz w:val="28"/>
          <w:szCs w:val="28"/>
        </w:rPr>
        <w:t xml:space="preserve">respectiva </w:t>
      </w:r>
      <w:r>
        <w:rPr>
          <w:rFonts w:ascii="Bookman Old Style" w:hAnsi="Bookman Old Style"/>
          <w:sz w:val="28"/>
          <w:szCs w:val="28"/>
        </w:rPr>
        <w:t>sustentación</w:t>
      </w:r>
      <w:r w:rsidR="00FD7E26">
        <w:rPr>
          <w:rFonts w:ascii="Bookman Old Style" w:hAnsi="Bookman Old Style"/>
          <w:sz w:val="28"/>
          <w:szCs w:val="28"/>
        </w:rPr>
        <w:t>. C</w:t>
      </w:r>
      <w:r w:rsidR="0037609A">
        <w:rPr>
          <w:rFonts w:ascii="Bookman Old Style" w:hAnsi="Bookman Old Style"/>
          <w:sz w:val="28"/>
          <w:szCs w:val="28"/>
        </w:rPr>
        <w:t xml:space="preserve">onocida la impresión de los no </w:t>
      </w:r>
      <w:r w:rsidR="0037609A">
        <w:rPr>
          <w:rFonts w:ascii="Bookman Old Style" w:hAnsi="Bookman Old Style"/>
          <w:sz w:val="28"/>
          <w:szCs w:val="28"/>
        </w:rPr>
        <w:lastRenderedPageBreak/>
        <w:t xml:space="preserve">impugnantes, </w:t>
      </w:r>
      <w:r w:rsidR="00FD7E26">
        <w:rPr>
          <w:rFonts w:ascii="Bookman Old Style" w:hAnsi="Bookman Old Style"/>
          <w:sz w:val="28"/>
          <w:szCs w:val="28"/>
        </w:rPr>
        <w:t xml:space="preserve">como respuesta al traslado concedido, </w:t>
      </w:r>
      <w:r w:rsidR="0037609A">
        <w:rPr>
          <w:rFonts w:ascii="Bookman Old Style" w:hAnsi="Bookman Old Style"/>
          <w:sz w:val="28"/>
          <w:szCs w:val="28"/>
        </w:rPr>
        <w:t xml:space="preserve">se apresta la Sala a pronunciarse sobre la procedencia o </w:t>
      </w:r>
      <w:r w:rsidR="00FD7E26">
        <w:rPr>
          <w:rFonts w:ascii="Bookman Old Style" w:hAnsi="Bookman Old Style"/>
          <w:sz w:val="28"/>
          <w:szCs w:val="28"/>
        </w:rPr>
        <w:t>improcedencia de los recursos interpuestos.</w:t>
      </w:r>
    </w:p>
    <w:p w:rsidR="00617328" w:rsidRDefault="00617328" w:rsidP="003E389A">
      <w:pPr>
        <w:spacing w:line="360" w:lineRule="auto"/>
        <w:jc w:val="both"/>
        <w:rPr>
          <w:rFonts w:ascii="Bookman Old Style" w:hAnsi="Bookman Old Style"/>
          <w:sz w:val="28"/>
          <w:szCs w:val="28"/>
        </w:rPr>
      </w:pPr>
    </w:p>
    <w:p w:rsidR="00617328" w:rsidRDefault="00617328" w:rsidP="003E389A">
      <w:pPr>
        <w:spacing w:line="360" w:lineRule="auto"/>
        <w:jc w:val="both"/>
        <w:rPr>
          <w:rFonts w:ascii="Bookman Old Style" w:hAnsi="Bookman Old Style"/>
          <w:sz w:val="28"/>
          <w:szCs w:val="28"/>
        </w:rPr>
      </w:pPr>
      <w:r>
        <w:rPr>
          <w:rFonts w:ascii="Bookman Old Style" w:hAnsi="Bookman Old Style"/>
          <w:sz w:val="28"/>
          <w:szCs w:val="28"/>
        </w:rPr>
        <w:t>Debe indicarse</w:t>
      </w:r>
      <w:r w:rsidR="00FD7E26">
        <w:rPr>
          <w:rFonts w:ascii="Bookman Old Style" w:hAnsi="Bookman Old Style"/>
          <w:sz w:val="28"/>
          <w:szCs w:val="28"/>
        </w:rPr>
        <w:t>,</w:t>
      </w:r>
      <w:r>
        <w:rPr>
          <w:rFonts w:ascii="Bookman Old Style" w:hAnsi="Bookman Old Style"/>
          <w:sz w:val="28"/>
          <w:szCs w:val="28"/>
        </w:rPr>
        <w:t xml:space="preserve"> en primer lugar, que a partir de lo dispuesto en el</w:t>
      </w:r>
      <w:r w:rsidR="0013065E">
        <w:rPr>
          <w:rFonts w:ascii="Bookman Old Style" w:hAnsi="Bookman Old Style"/>
          <w:sz w:val="28"/>
          <w:szCs w:val="28"/>
        </w:rPr>
        <w:t xml:space="preserve"> Acto Legislativo 01 de 2018, en el numeral 6° del artículo 3</w:t>
      </w:r>
      <w:r w:rsidR="00ED6990">
        <w:rPr>
          <w:rFonts w:ascii="Bookman Old Style" w:hAnsi="Bookman Old Style"/>
          <w:sz w:val="28"/>
          <w:szCs w:val="28"/>
        </w:rPr>
        <w:t>°, que modificó a su vez el 235 de la Constitución Política, contra las decisiones proferidas por la Sala Especial de Primera Instancia de la Sala Penal de la Corte Suprema de Justicia, procede el recurso de apelación, el cual debe ser resuelto por la Sala de Casación Penal de la misma Corporación.</w:t>
      </w:r>
    </w:p>
    <w:p w:rsidR="00ED6990" w:rsidRDefault="00ED6990" w:rsidP="003E389A">
      <w:pPr>
        <w:spacing w:line="360" w:lineRule="auto"/>
        <w:jc w:val="both"/>
        <w:rPr>
          <w:rFonts w:ascii="Bookman Old Style" w:hAnsi="Bookman Old Style"/>
          <w:sz w:val="28"/>
          <w:szCs w:val="28"/>
        </w:rPr>
      </w:pPr>
    </w:p>
    <w:p w:rsidR="00ED6990" w:rsidRDefault="00307A61" w:rsidP="003E389A">
      <w:pPr>
        <w:spacing w:line="360" w:lineRule="auto"/>
        <w:jc w:val="both"/>
        <w:rPr>
          <w:rFonts w:ascii="Bookman Old Style" w:hAnsi="Bookman Old Style"/>
          <w:sz w:val="28"/>
          <w:szCs w:val="28"/>
        </w:rPr>
      </w:pPr>
      <w:r>
        <w:rPr>
          <w:rFonts w:ascii="Bookman Old Style" w:hAnsi="Bookman Old Style"/>
          <w:sz w:val="28"/>
          <w:szCs w:val="28"/>
        </w:rPr>
        <w:t xml:space="preserve">Si ello es así, como en efecto lo es, la dinámica propia del recurso de </w:t>
      </w:r>
      <w:proofErr w:type="gramStart"/>
      <w:r>
        <w:rPr>
          <w:rFonts w:ascii="Bookman Old Style" w:hAnsi="Bookman Old Style"/>
          <w:sz w:val="28"/>
          <w:szCs w:val="28"/>
        </w:rPr>
        <w:t xml:space="preserve">apelación </w:t>
      </w:r>
      <w:r w:rsidR="00B961FE">
        <w:rPr>
          <w:rFonts w:ascii="Bookman Old Style" w:hAnsi="Bookman Old Style"/>
          <w:sz w:val="28"/>
          <w:szCs w:val="28"/>
        </w:rPr>
        <w:t xml:space="preserve"> </w:t>
      </w:r>
      <w:r>
        <w:rPr>
          <w:rFonts w:ascii="Bookman Old Style" w:hAnsi="Bookman Old Style"/>
          <w:sz w:val="28"/>
          <w:szCs w:val="28"/>
        </w:rPr>
        <w:t>para</w:t>
      </w:r>
      <w:proofErr w:type="gramEnd"/>
      <w:r>
        <w:rPr>
          <w:rFonts w:ascii="Bookman Old Style" w:hAnsi="Bookman Old Style"/>
          <w:sz w:val="28"/>
          <w:szCs w:val="28"/>
        </w:rPr>
        <w:t xml:space="preserve"> </w:t>
      </w:r>
      <w:r w:rsidR="00B961FE">
        <w:rPr>
          <w:rFonts w:ascii="Bookman Old Style" w:hAnsi="Bookman Old Style"/>
          <w:sz w:val="28"/>
          <w:szCs w:val="28"/>
        </w:rPr>
        <w:t xml:space="preserve"> </w:t>
      </w:r>
      <w:r>
        <w:rPr>
          <w:rFonts w:ascii="Bookman Old Style" w:hAnsi="Bookman Old Style"/>
          <w:sz w:val="28"/>
          <w:szCs w:val="28"/>
        </w:rPr>
        <w:t xml:space="preserve">este </w:t>
      </w:r>
      <w:r w:rsidR="00B961FE">
        <w:rPr>
          <w:rFonts w:ascii="Bookman Old Style" w:hAnsi="Bookman Old Style"/>
          <w:sz w:val="28"/>
          <w:szCs w:val="28"/>
        </w:rPr>
        <w:t xml:space="preserve"> </w:t>
      </w:r>
      <w:r>
        <w:rPr>
          <w:rFonts w:ascii="Bookman Old Style" w:hAnsi="Bookman Old Style"/>
          <w:sz w:val="28"/>
          <w:szCs w:val="28"/>
        </w:rPr>
        <w:t xml:space="preserve">tipo de decisiones, a las luces de lo previsto </w:t>
      </w:r>
      <w:r w:rsidR="00B961FE">
        <w:rPr>
          <w:rFonts w:ascii="Bookman Old Style" w:hAnsi="Bookman Old Style"/>
          <w:sz w:val="28"/>
          <w:szCs w:val="28"/>
        </w:rPr>
        <w:t xml:space="preserve"> </w:t>
      </w:r>
      <w:r>
        <w:rPr>
          <w:rFonts w:ascii="Bookman Old Style" w:hAnsi="Bookman Old Style"/>
          <w:sz w:val="28"/>
          <w:szCs w:val="28"/>
        </w:rPr>
        <w:t xml:space="preserve">en el artículo 178 </w:t>
      </w:r>
      <w:r w:rsidR="00B961FE">
        <w:rPr>
          <w:rFonts w:ascii="Bookman Old Style" w:hAnsi="Bookman Old Style"/>
          <w:sz w:val="28"/>
          <w:szCs w:val="28"/>
        </w:rPr>
        <w:t xml:space="preserve"> </w:t>
      </w:r>
      <w:r>
        <w:rPr>
          <w:rFonts w:ascii="Bookman Old Style" w:hAnsi="Bookman Old Style"/>
          <w:sz w:val="28"/>
          <w:szCs w:val="28"/>
        </w:rPr>
        <w:t xml:space="preserve">de </w:t>
      </w:r>
      <w:r w:rsidR="00B961FE">
        <w:rPr>
          <w:rFonts w:ascii="Bookman Old Style" w:hAnsi="Bookman Old Style"/>
          <w:sz w:val="28"/>
          <w:szCs w:val="28"/>
        </w:rPr>
        <w:t xml:space="preserve"> </w:t>
      </w:r>
      <w:r>
        <w:rPr>
          <w:rFonts w:ascii="Bookman Old Style" w:hAnsi="Bookman Old Style"/>
          <w:sz w:val="28"/>
          <w:szCs w:val="28"/>
        </w:rPr>
        <w:t xml:space="preserve">la </w:t>
      </w:r>
      <w:r w:rsidR="00B961FE">
        <w:rPr>
          <w:rFonts w:ascii="Bookman Old Style" w:hAnsi="Bookman Old Style"/>
          <w:sz w:val="28"/>
          <w:szCs w:val="28"/>
        </w:rPr>
        <w:t xml:space="preserve"> </w:t>
      </w:r>
      <w:r>
        <w:rPr>
          <w:rFonts w:ascii="Bookman Old Style" w:hAnsi="Bookman Old Style"/>
          <w:sz w:val="28"/>
          <w:szCs w:val="28"/>
        </w:rPr>
        <w:t xml:space="preserve">ley 906 de 2004, implica concederlo de manera inmediata, en el evento de una debida sustentación, claro está. </w:t>
      </w:r>
      <w:proofErr w:type="gramStart"/>
      <w:r w:rsidR="006B0655">
        <w:rPr>
          <w:rFonts w:ascii="Bookman Old Style" w:hAnsi="Bookman Old Style"/>
          <w:sz w:val="28"/>
          <w:szCs w:val="28"/>
        </w:rPr>
        <w:t>Pero</w:t>
      </w:r>
      <w:r w:rsidR="00FD7E26">
        <w:rPr>
          <w:rFonts w:ascii="Bookman Old Style" w:hAnsi="Bookman Old Style"/>
          <w:sz w:val="28"/>
          <w:szCs w:val="28"/>
        </w:rPr>
        <w:t>,</w:t>
      </w:r>
      <w:r w:rsidR="006B0655">
        <w:rPr>
          <w:rFonts w:ascii="Bookman Old Style" w:hAnsi="Bookman Old Style"/>
          <w:sz w:val="28"/>
          <w:szCs w:val="28"/>
        </w:rPr>
        <w:t xml:space="preserve"> </w:t>
      </w:r>
      <w:r w:rsidR="00B961FE">
        <w:rPr>
          <w:rFonts w:ascii="Bookman Old Style" w:hAnsi="Bookman Old Style"/>
          <w:sz w:val="28"/>
          <w:szCs w:val="28"/>
        </w:rPr>
        <w:t xml:space="preserve"> </w:t>
      </w:r>
      <w:r w:rsidR="006B0655">
        <w:rPr>
          <w:rFonts w:ascii="Bookman Old Style" w:hAnsi="Bookman Old Style"/>
          <w:sz w:val="28"/>
          <w:szCs w:val="28"/>
        </w:rPr>
        <w:t>precisamente</w:t>
      </w:r>
      <w:proofErr w:type="gramEnd"/>
      <w:r w:rsidR="006B0655">
        <w:rPr>
          <w:rFonts w:ascii="Bookman Old Style" w:hAnsi="Bookman Old Style"/>
          <w:sz w:val="28"/>
          <w:szCs w:val="28"/>
        </w:rPr>
        <w:t xml:space="preserve">, </w:t>
      </w:r>
      <w:r w:rsidR="00B961FE">
        <w:rPr>
          <w:rFonts w:ascii="Bookman Old Style" w:hAnsi="Bookman Old Style"/>
          <w:sz w:val="28"/>
          <w:szCs w:val="28"/>
        </w:rPr>
        <w:t xml:space="preserve"> </w:t>
      </w:r>
      <w:r w:rsidR="006B0655">
        <w:rPr>
          <w:rFonts w:ascii="Bookman Old Style" w:hAnsi="Bookman Old Style"/>
          <w:sz w:val="28"/>
          <w:szCs w:val="28"/>
        </w:rPr>
        <w:t xml:space="preserve">frente a la naturaleza de la decisión, </w:t>
      </w:r>
      <w:r w:rsidR="00055C6F">
        <w:rPr>
          <w:rFonts w:ascii="Bookman Old Style" w:hAnsi="Bookman Old Style"/>
          <w:sz w:val="28"/>
          <w:szCs w:val="28"/>
        </w:rPr>
        <w:t>en consideración a</w:t>
      </w:r>
      <w:r w:rsidR="006B0655">
        <w:rPr>
          <w:rFonts w:ascii="Bookman Old Style" w:hAnsi="Bookman Old Style"/>
          <w:sz w:val="28"/>
          <w:szCs w:val="28"/>
        </w:rPr>
        <w:t xml:space="preserve"> la parte solicitante, </w:t>
      </w:r>
      <w:r w:rsidR="00B961FE">
        <w:rPr>
          <w:rFonts w:ascii="Bookman Old Style" w:hAnsi="Bookman Old Style"/>
          <w:sz w:val="28"/>
          <w:szCs w:val="28"/>
        </w:rPr>
        <w:t xml:space="preserve"> </w:t>
      </w:r>
      <w:r w:rsidR="006B0655">
        <w:rPr>
          <w:rFonts w:ascii="Bookman Old Style" w:hAnsi="Bookman Old Style"/>
          <w:sz w:val="28"/>
          <w:szCs w:val="28"/>
        </w:rPr>
        <w:t xml:space="preserve">en este caso, la </w:t>
      </w:r>
      <w:r w:rsidR="00B961FE">
        <w:rPr>
          <w:rFonts w:ascii="Bookman Old Style" w:hAnsi="Bookman Old Style"/>
          <w:sz w:val="28"/>
          <w:szCs w:val="28"/>
        </w:rPr>
        <w:t xml:space="preserve"> </w:t>
      </w:r>
      <w:r w:rsidR="006B0655">
        <w:rPr>
          <w:rFonts w:ascii="Bookman Old Style" w:hAnsi="Bookman Old Style"/>
          <w:sz w:val="28"/>
          <w:szCs w:val="28"/>
        </w:rPr>
        <w:t>Fiscalía General de la Nación,</w:t>
      </w:r>
      <w:r w:rsidR="00FD7E26">
        <w:rPr>
          <w:rFonts w:ascii="Bookman Old Style" w:hAnsi="Bookman Old Style"/>
          <w:sz w:val="28"/>
          <w:szCs w:val="28"/>
        </w:rPr>
        <w:t xml:space="preserve"> no </w:t>
      </w:r>
      <w:r w:rsidR="00B961FE">
        <w:rPr>
          <w:rFonts w:ascii="Bookman Old Style" w:hAnsi="Bookman Old Style"/>
          <w:sz w:val="28"/>
          <w:szCs w:val="28"/>
        </w:rPr>
        <w:t xml:space="preserve"> </w:t>
      </w:r>
      <w:r w:rsidR="000501B2">
        <w:rPr>
          <w:rFonts w:ascii="Bookman Old Style" w:hAnsi="Bookman Old Style"/>
          <w:sz w:val="28"/>
          <w:szCs w:val="28"/>
        </w:rPr>
        <w:t>h</w:t>
      </w:r>
      <w:r w:rsidR="00FD7E26">
        <w:rPr>
          <w:rFonts w:ascii="Bookman Old Style" w:hAnsi="Bookman Old Style"/>
          <w:sz w:val="28"/>
          <w:szCs w:val="28"/>
        </w:rPr>
        <w:t>abría duda</w:t>
      </w:r>
      <w:r w:rsidR="00F171D4">
        <w:rPr>
          <w:rFonts w:ascii="Bookman Old Style" w:hAnsi="Bookman Old Style"/>
          <w:sz w:val="28"/>
          <w:szCs w:val="28"/>
        </w:rPr>
        <w:t>; sin embargo de lo cual</w:t>
      </w:r>
      <w:r w:rsidR="006B0655">
        <w:rPr>
          <w:rFonts w:ascii="Bookman Old Style" w:hAnsi="Bookman Old Style"/>
          <w:sz w:val="28"/>
          <w:szCs w:val="28"/>
        </w:rPr>
        <w:t xml:space="preserve"> quiso </w:t>
      </w:r>
      <w:r w:rsidR="00B961FE">
        <w:rPr>
          <w:rFonts w:ascii="Bookman Old Style" w:hAnsi="Bookman Old Style"/>
          <w:sz w:val="28"/>
          <w:szCs w:val="28"/>
        </w:rPr>
        <w:t xml:space="preserve"> </w:t>
      </w:r>
      <w:r w:rsidR="006B0655">
        <w:rPr>
          <w:rFonts w:ascii="Bookman Old Style" w:hAnsi="Bookman Old Style"/>
          <w:sz w:val="28"/>
          <w:szCs w:val="28"/>
        </w:rPr>
        <w:t xml:space="preserve">la Sala tomarse </w:t>
      </w:r>
      <w:r w:rsidR="00B961FE">
        <w:rPr>
          <w:rFonts w:ascii="Bookman Old Style" w:hAnsi="Bookman Old Style"/>
          <w:sz w:val="28"/>
          <w:szCs w:val="28"/>
        </w:rPr>
        <w:t xml:space="preserve"> </w:t>
      </w:r>
      <w:r w:rsidR="006B0655">
        <w:rPr>
          <w:rFonts w:ascii="Bookman Old Style" w:hAnsi="Bookman Old Style"/>
          <w:sz w:val="28"/>
          <w:szCs w:val="28"/>
        </w:rPr>
        <w:t xml:space="preserve">un </w:t>
      </w:r>
      <w:r w:rsidR="00B961FE">
        <w:rPr>
          <w:rFonts w:ascii="Bookman Old Style" w:hAnsi="Bookman Old Style"/>
          <w:sz w:val="28"/>
          <w:szCs w:val="28"/>
        </w:rPr>
        <w:t xml:space="preserve"> </w:t>
      </w:r>
      <w:r w:rsidR="006B0655">
        <w:rPr>
          <w:rFonts w:ascii="Bookman Old Style" w:hAnsi="Bookman Old Style"/>
          <w:sz w:val="28"/>
          <w:szCs w:val="28"/>
        </w:rPr>
        <w:t xml:space="preserve">tiempo </w:t>
      </w:r>
      <w:r w:rsidR="00B961FE">
        <w:rPr>
          <w:rFonts w:ascii="Bookman Old Style" w:hAnsi="Bookman Old Style"/>
          <w:sz w:val="28"/>
          <w:szCs w:val="28"/>
        </w:rPr>
        <w:t xml:space="preserve"> </w:t>
      </w:r>
      <w:r w:rsidR="006B0655">
        <w:rPr>
          <w:rFonts w:ascii="Bookman Old Style" w:hAnsi="Bookman Old Style"/>
          <w:sz w:val="28"/>
          <w:szCs w:val="28"/>
        </w:rPr>
        <w:t xml:space="preserve">para </w:t>
      </w:r>
      <w:r w:rsidR="00B961FE">
        <w:rPr>
          <w:rFonts w:ascii="Bookman Old Style" w:hAnsi="Bookman Old Style"/>
          <w:sz w:val="28"/>
          <w:szCs w:val="28"/>
        </w:rPr>
        <w:t xml:space="preserve">  </w:t>
      </w:r>
      <w:r w:rsidR="006B0655">
        <w:rPr>
          <w:rFonts w:ascii="Bookman Old Style" w:hAnsi="Bookman Old Style"/>
          <w:sz w:val="28"/>
          <w:szCs w:val="28"/>
        </w:rPr>
        <w:t xml:space="preserve">aclarar </w:t>
      </w:r>
      <w:r w:rsidR="00B961FE">
        <w:rPr>
          <w:rFonts w:ascii="Bookman Old Style" w:hAnsi="Bookman Old Style"/>
          <w:sz w:val="28"/>
          <w:szCs w:val="28"/>
        </w:rPr>
        <w:t xml:space="preserve"> </w:t>
      </w:r>
      <w:r w:rsidR="006B0655">
        <w:rPr>
          <w:rFonts w:ascii="Bookman Old Style" w:hAnsi="Bookman Old Style"/>
          <w:sz w:val="28"/>
          <w:szCs w:val="28"/>
        </w:rPr>
        <w:t xml:space="preserve">los </w:t>
      </w:r>
      <w:r w:rsidR="00B961FE">
        <w:rPr>
          <w:rFonts w:ascii="Bookman Old Style" w:hAnsi="Bookman Old Style"/>
          <w:sz w:val="28"/>
          <w:szCs w:val="28"/>
        </w:rPr>
        <w:t xml:space="preserve"> </w:t>
      </w:r>
      <w:r w:rsidR="006B0655">
        <w:rPr>
          <w:rFonts w:ascii="Bookman Old Style" w:hAnsi="Bookman Old Style"/>
          <w:sz w:val="28"/>
          <w:szCs w:val="28"/>
        </w:rPr>
        <w:t xml:space="preserve">alcances </w:t>
      </w:r>
      <w:r w:rsidR="00B961FE">
        <w:rPr>
          <w:rFonts w:ascii="Bookman Old Style" w:hAnsi="Bookman Old Style"/>
          <w:sz w:val="28"/>
          <w:szCs w:val="28"/>
        </w:rPr>
        <w:t xml:space="preserve"> </w:t>
      </w:r>
      <w:r w:rsidR="006B0655">
        <w:rPr>
          <w:rFonts w:ascii="Bookman Old Style" w:hAnsi="Bookman Old Style"/>
          <w:sz w:val="28"/>
          <w:szCs w:val="28"/>
        </w:rPr>
        <w:t xml:space="preserve">de </w:t>
      </w:r>
      <w:r w:rsidR="00B961FE">
        <w:rPr>
          <w:rFonts w:ascii="Bookman Old Style" w:hAnsi="Bookman Old Style"/>
          <w:sz w:val="28"/>
          <w:szCs w:val="28"/>
        </w:rPr>
        <w:t xml:space="preserve"> </w:t>
      </w:r>
      <w:r w:rsidR="006B0655">
        <w:rPr>
          <w:rFonts w:ascii="Bookman Old Style" w:hAnsi="Bookman Old Style"/>
          <w:sz w:val="28"/>
          <w:szCs w:val="28"/>
        </w:rPr>
        <w:t xml:space="preserve">la impugnación, desde el punto de vista de la defensa, cuando </w:t>
      </w:r>
      <w:r w:rsidR="00FD7E26">
        <w:rPr>
          <w:rFonts w:ascii="Bookman Old Style" w:hAnsi="Bookman Old Style"/>
          <w:sz w:val="28"/>
          <w:szCs w:val="28"/>
        </w:rPr>
        <w:t xml:space="preserve">ésta no es titular o </w:t>
      </w:r>
      <w:r w:rsidR="006B0655">
        <w:rPr>
          <w:rFonts w:ascii="Bookman Old Style" w:hAnsi="Bookman Old Style"/>
          <w:sz w:val="28"/>
          <w:szCs w:val="28"/>
        </w:rPr>
        <w:t xml:space="preserve">no ha </w:t>
      </w:r>
      <w:r w:rsidR="00C277B0">
        <w:rPr>
          <w:rFonts w:ascii="Bookman Old Style" w:hAnsi="Bookman Old Style"/>
          <w:sz w:val="28"/>
          <w:szCs w:val="28"/>
        </w:rPr>
        <w:t xml:space="preserve">ejercitado de manera directa el derecho de </w:t>
      </w:r>
      <w:r w:rsidR="006B0655">
        <w:rPr>
          <w:rFonts w:ascii="Bookman Old Style" w:hAnsi="Bookman Old Style"/>
          <w:sz w:val="28"/>
          <w:szCs w:val="28"/>
        </w:rPr>
        <w:t>postulación.</w:t>
      </w:r>
    </w:p>
    <w:p w:rsidR="00326FF4" w:rsidRDefault="00326FF4" w:rsidP="003E389A">
      <w:pPr>
        <w:spacing w:line="360" w:lineRule="auto"/>
        <w:jc w:val="both"/>
        <w:rPr>
          <w:rFonts w:ascii="Bookman Old Style" w:hAnsi="Bookman Old Style"/>
          <w:sz w:val="28"/>
          <w:szCs w:val="28"/>
        </w:rPr>
      </w:pPr>
    </w:p>
    <w:p w:rsidR="00326FF4" w:rsidRDefault="00326FF4" w:rsidP="003E389A">
      <w:pPr>
        <w:spacing w:line="360" w:lineRule="auto"/>
        <w:jc w:val="both"/>
        <w:rPr>
          <w:rFonts w:ascii="Bookman Old Style" w:hAnsi="Bookman Old Style"/>
          <w:sz w:val="28"/>
          <w:szCs w:val="28"/>
        </w:rPr>
      </w:pPr>
      <w:r>
        <w:rPr>
          <w:rFonts w:ascii="Bookman Old Style" w:hAnsi="Bookman Old Style"/>
          <w:sz w:val="28"/>
          <w:szCs w:val="28"/>
        </w:rPr>
        <w:t>En efecto, debe recordar</w:t>
      </w:r>
      <w:r w:rsidR="000501B2">
        <w:rPr>
          <w:rFonts w:ascii="Bookman Old Style" w:hAnsi="Bookman Old Style"/>
          <w:sz w:val="28"/>
          <w:szCs w:val="28"/>
        </w:rPr>
        <w:t>se</w:t>
      </w:r>
      <w:r>
        <w:rPr>
          <w:rFonts w:ascii="Bookman Old Style" w:hAnsi="Bookman Old Style"/>
          <w:sz w:val="28"/>
          <w:szCs w:val="28"/>
        </w:rPr>
        <w:t xml:space="preserve"> que la solicitud de preclusión fue invocada por la representante de la fiscalía, quien consideró </w:t>
      </w:r>
      <w:r>
        <w:rPr>
          <w:rFonts w:ascii="Bookman Old Style" w:hAnsi="Bookman Old Style"/>
          <w:sz w:val="28"/>
          <w:szCs w:val="28"/>
        </w:rPr>
        <w:lastRenderedPageBreak/>
        <w:t>que en este caso se configuraba la causal prevista en el numeral 2° del artículo 332 de la Codificación Procesal Penal, en armonía con el numeral 10° del artículo 32 del Código Penal.</w:t>
      </w:r>
    </w:p>
    <w:p w:rsidR="00326FF4" w:rsidRDefault="00326FF4" w:rsidP="003E389A">
      <w:pPr>
        <w:spacing w:line="360" w:lineRule="auto"/>
        <w:jc w:val="both"/>
        <w:rPr>
          <w:rFonts w:ascii="Bookman Old Style" w:hAnsi="Bookman Old Style"/>
          <w:sz w:val="28"/>
          <w:szCs w:val="28"/>
        </w:rPr>
      </w:pPr>
    </w:p>
    <w:p w:rsidR="00013F8A" w:rsidRDefault="008D4ABB" w:rsidP="003E389A">
      <w:pPr>
        <w:spacing w:line="360" w:lineRule="auto"/>
        <w:jc w:val="both"/>
        <w:rPr>
          <w:rFonts w:ascii="Bookman Old Style" w:hAnsi="Bookman Old Style"/>
          <w:sz w:val="28"/>
          <w:szCs w:val="28"/>
        </w:rPr>
      </w:pPr>
      <w:r>
        <w:rPr>
          <w:rFonts w:ascii="Bookman Old Style" w:hAnsi="Bookman Old Style"/>
          <w:sz w:val="28"/>
          <w:szCs w:val="28"/>
        </w:rPr>
        <w:t>Desde es</w:t>
      </w:r>
      <w:r w:rsidR="00E65317">
        <w:rPr>
          <w:rFonts w:ascii="Bookman Old Style" w:hAnsi="Bookman Old Style"/>
          <w:sz w:val="28"/>
          <w:szCs w:val="28"/>
        </w:rPr>
        <w:t>a perspectiva</w:t>
      </w:r>
      <w:r w:rsidR="000501B2">
        <w:rPr>
          <w:rFonts w:ascii="Bookman Old Style" w:hAnsi="Bookman Old Style"/>
          <w:sz w:val="28"/>
          <w:szCs w:val="28"/>
        </w:rPr>
        <w:t>,</w:t>
      </w:r>
      <w:r>
        <w:rPr>
          <w:rFonts w:ascii="Bookman Old Style" w:hAnsi="Bookman Old Style"/>
          <w:sz w:val="28"/>
          <w:szCs w:val="28"/>
        </w:rPr>
        <w:t xml:space="preserve"> entonces, cuando en la decisión que se viene de comentar, esta Sala negó la preclusión aludida, por supuesto que se activó de inmediato el derecho a impugnar la misma, pues se trata sin duda de una decisión de las previstas en l</w:t>
      </w:r>
      <w:r w:rsidR="000501B2">
        <w:rPr>
          <w:rFonts w:ascii="Bookman Old Style" w:hAnsi="Bookman Old Style"/>
          <w:sz w:val="28"/>
          <w:szCs w:val="28"/>
        </w:rPr>
        <w:t>os</w:t>
      </w:r>
      <w:r>
        <w:rPr>
          <w:rFonts w:ascii="Bookman Old Style" w:hAnsi="Bookman Old Style"/>
          <w:sz w:val="28"/>
          <w:szCs w:val="28"/>
        </w:rPr>
        <w:t xml:space="preserve"> artículo</w:t>
      </w:r>
      <w:r w:rsidR="000501B2">
        <w:rPr>
          <w:rFonts w:ascii="Bookman Old Style" w:hAnsi="Bookman Old Style"/>
          <w:sz w:val="28"/>
          <w:szCs w:val="28"/>
        </w:rPr>
        <w:t>s</w:t>
      </w:r>
      <w:r>
        <w:rPr>
          <w:rFonts w:ascii="Bookman Old Style" w:hAnsi="Bookman Old Style"/>
          <w:sz w:val="28"/>
          <w:szCs w:val="28"/>
        </w:rPr>
        <w:t xml:space="preserve"> 176 </w:t>
      </w:r>
      <w:r w:rsidR="000501B2">
        <w:rPr>
          <w:rFonts w:ascii="Bookman Old Style" w:hAnsi="Bookman Old Style"/>
          <w:sz w:val="28"/>
          <w:szCs w:val="28"/>
        </w:rPr>
        <w:t xml:space="preserve">y 177 </w:t>
      </w:r>
      <w:r>
        <w:rPr>
          <w:rFonts w:ascii="Bookman Old Style" w:hAnsi="Bookman Old Style"/>
          <w:sz w:val="28"/>
          <w:szCs w:val="28"/>
        </w:rPr>
        <w:t>de la Ley 906 de 2004.</w:t>
      </w:r>
    </w:p>
    <w:p w:rsidR="00013F8A" w:rsidRDefault="00013F8A" w:rsidP="003E389A">
      <w:pPr>
        <w:spacing w:line="360" w:lineRule="auto"/>
        <w:jc w:val="both"/>
        <w:rPr>
          <w:rFonts w:ascii="Bookman Old Style" w:hAnsi="Bookman Old Style"/>
          <w:sz w:val="28"/>
          <w:szCs w:val="28"/>
        </w:rPr>
      </w:pPr>
    </w:p>
    <w:p w:rsidR="00326FF4" w:rsidRDefault="00013F8A" w:rsidP="003E389A">
      <w:pPr>
        <w:spacing w:line="360" w:lineRule="auto"/>
        <w:jc w:val="both"/>
        <w:rPr>
          <w:rFonts w:ascii="Bookman Old Style" w:hAnsi="Bookman Old Style"/>
          <w:sz w:val="28"/>
          <w:szCs w:val="28"/>
        </w:rPr>
      </w:pPr>
      <w:r>
        <w:rPr>
          <w:rFonts w:ascii="Bookman Old Style" w:hAnsi="Bookman Old Style"/>
          <w:sz w:val="28"/>
          <w:szCs w:val="28"/>
        </w:rPr>
        <w:t xml:space="preserve">Ahora bien, lo que quiere </w:t>
      </w:r>
      <w:r w:rsidR="00E65317">
        <w:rPr>
          <w:rFonts w:ascii="Bookman Old Style" w:hAnsi="Bookman Old Style"/>
          <w:sz w:val="28"/>
          <w:szCs w:val="28"/>
        </w:rPr>
        <w:t xml:space="preserve">resaltar </w:t>
      </w:r>
      <w:r>
        <w:rPr>
          <w:rFonts w:ascii="Bookman Old Style" w:hAnsi="Bookman Old Style"/>
          <w:sz w:val="28"/>
          <w:szCs w:val="28"/>
        </w:rPr>
        <w:t>la Sala en esta oportunidad, que sirva como derrotero además para las eventuales ocasiones en que se presente esta misma situación</w:t>
      </w:r>
      <w:r w:rsidR="00C14092">
        <w:rPr>
          <w:rFonts w:ascii="Bookman Old Style" w:hAnsi="Bookman Old Style"/>
          <w:sz w:val="28"/>
          <w:szCs w:val="28"/>
        </w:rPr>
        <w:t xml:space="preserve">, es aclarar </w:t>
      </w:r>
      <w:r w:rsidR="00F171D4">
        <w:rPr>
          <w:rFonts w:ascii="Bookman Old Style" w:hAnsi="Bookman Old Style"/>
          <w:sz w:val="28"/>
          <w:szCs w:val="28"/>
        </w:rPr>
        <w:t>e</w:t>
      </w:r>
      <w:r w:rsidR="00C14092">
        <w:rPr>
          <w:rFonts w:ascii="Bookman Old Style" w:hAnsi="Bookman Old Style"/>
          <w:sz w:val="28"/>
          <w:szCs w:val="28"/>
        </w:rPr>
        <w:t>l alcance de qui</w:t>
      </w:r>
      <w:r w:rsidR="00F171D4">
        <w:rPr>
          <w:rFonts w:ascii="Bookman Old Style" w:hAnsi="Bookman Old Style"/>
          <w:sz w:val="28"/>
          <w:szCs w:val="28"/>
        </w:rPr>
        <w:t>é</w:t>
      </w:r>
      <w:r w:rsidR="00C14092">
        <w:rPr>
          <w:rFonts w:ascii="Bookman Old Style" w:hAnsi="Bookman Old Style"/>
          <w:sz w:val="28"/>
          <w:szCs w:val="28"/>
        </w:rPr>
        <w:t xml:space="preserve">nes realmente </w:t>
      </w:r>
      <w:r w:rsidR="00EE4C0B">
        <w:rPr>
          <w:rFonts w:ascii="Bookman Old Style" w:hAnsi="Bookman Old Style"/>
          <w:sz w:val="28"/>
          <w:szCs w:val="28"/>
        </w:rPr>
        <w:t>se encuentran</w:t>
      </w:r>
      <w:r w:rsidR="00C14092">
        <w:rPr>
          <w:rFonts w:ascii="Bookman Old Style" w:hAnsi="Bookman Old Style"/>
          <w:sz w:val="28"/>
          <w:szCs w:val="28"/>
        </w:rPr>
        <w:t xml:space="preserve"> legitimados para la interposición de los recursos ordinarios, en tratándose de negativas de preclusión, c</w:t>
      </w:r>
      <w:r w:rsidR="00BA6ACB">
        <w:rPr>
          <w:rFonts w:ascii="Bookman Old Style" w:hAnsi="Bookman Old Style"/>
          <w:sz w:val="28"/>
          <w:szCs w:val="28"/>
        </w:rPr>
        <w:t>u</w:t>
      </w:r>
      <w:r w:rsidR="00C14092">
        <w:rPr>
          <w:rFonts w:ascii="Bookman Old Style" w:hAnsi="Bookman Old Style"/>
          <w:sz w:val="28"/>
          <w:szCs w:val="28"/>
        </w:rPr>
        <w:t xml:space="preserve">ando quien </w:t>
      </w:r>
      <w:r w:rsidR="00F171D4">
        <w:rPr>
          <w:rFonts w:ascii="Bookman Old Style" w:hAnsi="Bookman Old Style"/>
          <w:sz w:val="28"/>
          <w:szCs w:val="28"/>
        </w:rPr>
        <w:t xml:space="preserve">hace </w:t>
      </w:r>
      <w:r w:rsidR="00C14092">
        <w:rPr>
          <w:rFonts w:ascii="Bookman Old Style" w:hAnsi="Bookman Old Style"/>
          <w:sz w:val="28"/>
          <w:szCs w:val="28"/>
        </w:rPr>
        <w:t xml:space="preserve">la </w:t>
      </w:r>
      <w:r w:rsidR="00F171D4">
        <w:rPr>
          <w:rFonts w:ascii="Bookman Old Style" w:hAnsi="Bookman Old Style"/>
          <w:sz w:val="28"/>
          <w:szCs w:val="28"/>
        </w:rPr>
        <w:t>solicitud</w:t>
      </w:r>
      <w:r w:rsidR="00C14092">
        <w:rPr>
          <w:rFonts w:ascii="Bookman Old Style" w:hAnsi="Bookman Old Style"/>
          <w:sz w:val="28"/>
          <w:szCs w:val="28"/>
        </w:rPr>
        <w:t xml:space="preserve"> es la entidad facultada constitucional y legalmente para el ejercicio de la acción penal</w:t>
      </w:r>
      <w:r w:rsidR="00F171D4">
        <w:rPr>
          <w:rFonts w:ascii="Bookman Old Style" w:hAnsi="Bookman Old Style"/>
          <w:sz w:val="28"/>
          <w:szCs w:val="28"/>
        </w:rPr>
        <w:t xml:space="preserve">, obviamente en las fases de indagación o investigación. </w:t>
      </w:r>
      <w:r w:rsidR="0061478A">
        <w:rPr>
          <w:rFonts w:ascii="Bookman Old Style" w:hAnsi="Bookman Old Style"/>
          <w:sz w:val="28"/>
          <w:szCs w:val="28"/>
        </w:rPr>
        <w:t>Ello</w:t>
      </w:r>
      <w:r w:rsidR="000501B2">
        <w:rPr>
          <w:rFonts w:ascii="Bookman Old Style" w:hAnsi="Bookman Old Style"/>
          <w:sz w:val="28"/>
          <w:szCs w:val="28"/>
        </w:rPr>
        <w:t>,</w:t>
      </w:r>
      <w:r w:rsidR="0061478A">
        <w:rPr>
          <w:rFonts w:ascii="Bookman Old Style" w:hAnsi="Bookman Old Style"/>
          <w:sz w:val="28"/>
          <w:szCs w:val="28"/>
        </w:rPr>
        <w:t xml:space="preserve"> por supuesto, a partir de las directrices que en ese sentido ha formulado de tiempo atrás la Sala de Casación Penal de esta Corporación.</w:t>
      </w:r>
    </w:p>
    <w:p w:rsidR="00BA6ACB" w:rsidRDefault="00BA6ACB" w:rsidP="003E389A">
      <w:pPr>
        <w:spacing w:line="360" w:lineRule="auto"/>
        <w:jc w:val="both"/>
        <w:rPr>
          <w:rFonts w:ascii="Bookman Old Style" w:hAnsi="Bookman Old Style"/>
          <w:sz w:val="28"/>
          <w:szCs w:val="28"/>
        </w:rPr>
      </w:pPr>
    </w:p>
    <w:p w:rsidR="00BA6ACB" w:rsidRDefault="00BA6ACB" w:rsidP="003E389A">
      <w:pPr>
        <w:spacing w:line="360" w:lineRule="auto"/>
        <w:jc w:val="both"/>
        <w:rPr>
          <w:rFonts w:ascii="Bookman Old Style" w:hAnsi="Bookman Old Style"/>
          <w:sz w:val="28"/>
          <w:szCs w:val="28"/>
        </w:rPr>
      </w:pPr>
      <w:r>
        <w:rPr>
          <w:rFonts w:ascii="Bookman Old Style" w:hAnsi="Bookman Old Style"/>
          <w:sz w:val="28"/>
          <w:szCs w:val="28"/>
        </w:rPr>
        <w:t>Lo anterior, por supuesto, a partir de las atribuciones que</w:t>
      </w:r>
      <w:r w:rsidR="0031367B">
        <w:rPr>
          <w:rFonts w:ascii="Bookman Old Style" w:hAnsi="Bookman Old Style"/>
          <w:sz w:val="28"/>
          <w:szCs w:val="28"/>
        </w:rPr>
        <w:t>,</w:t>
      </w:r>
      <w:r>
        <w:rPr>
          <w:rFonts w:ascii="Bookman Old Style" w:hAnsi="Bookman Old Style"/>
          <w:sz w:val="28"/>
          <w:szCs w:val="28"/>
        </w:rPr>
        <w:t xml:space="preserve"> desde la </w:t>
      </w:r>
      <w:r w:rsidR="00F259C1">
        <w:rPr>
          <w:rFonts w:ascii="Bookman Old Style" w:hAnsi="Bookman Old Style"/>
          <w:sz w:val="28"/>
          <w:szCs w:val="28"/>
        </w:rPr>
        <w:t>C</w:t>
      </w:r>
      <w:r>
        <w:rPr>
          <w:rFonts w:ascii="Bookman Old Style" w:hAnsi="Bookman Old Style"/>
          <w:sz w:val="28"/>
          <w:szCs w:val="28"/>
        </w:rPr>
        <w:t xml:space="preserve">arta </w:t>
      </w:r>
      <w:r w:rsidR="00F259C1">
        <w:rPr>
          <w:rFonts w:ascii="Bookman Old Style" w:hAnsi="Bookman Old Style"/>
          <w:sz w:val="28"/>
          <w:szCs w:val="28"/>
        </w:rPr>
        <w:t>P</w:t>
      </w:r>
      <w:r>
        <w:rPr>
          <w:rFonts w:ascii="Bookman Old Style" w:hAnsi="Bookman Old Style"/>
          <w:sz w:val="28"/>
          <w:szCs w:val="28"/>
        </w:rPr>
        <w:t>olítica, artículo 250-</w:t>
      </w:r>
      <w:proofErr w:type="gramStart"/>
      <w:r>
        <w:rPr>
          <w:rFonts w:ascii="Bookman Old Style" w:hAnsi="Bookman Old Style"/>
          <w:sz w:val="28"/>
          <w:szCs w:val="28"/>
        </w:rPr>
        <w:t>5,  establece</w:t>
      </w:r>
      <w:proofErr w:type="gramEnd"/>
      <w:r>
        <w:rPr>
          <w:rFonts w:ascii="Bookman Old Style" w:hAnsi="Bookman Old Style"/>
          <w:sz w:val="28"/>
          <w:szCs w:val="28"/>
        </w:rPr>
        <w:t xml:space="preserve"> para la Fiscalía General de la Nación, en concordancia con lo dispuesto en los preceptos </w:t>
      </w:r>
      <w:r w:rsidR="007E6AAB">
        <w:rPr>
          <w:rFonts w:ascii="Bookman Old Style" w:hAnsi="Bookman Old Style"/>
          <w:sz w:val="28"/>
          <w:szCs w:val="28"/>
        </w:rPr>
        <w:t>3</w:t>
      </w:r>
      <w:r>
        <w:rPr>
          <w:rFonts w:ascii="Bookman Old Style" w:hAnsi="Bookman Old Style"/>
          <w:sz w:val="28"/>
          <w:szCs w:val="28"/>
        </w:rPr>
        <w:t xml:space="preserve">31 y </w:t>
      </w:r>
      <w:r w:rsidR="007E6AAB">
        <w:rPr>
          <w:rFonts w:ascii="Bookman Old Style" w:hAnsi="Bookman Old Style"/>
          <w:sz w:val="28"/>
          <w:szCs w:val="28"/>
        </w:rPr>
        <w:t>3</w:t>
      </w:r>
      <w:r>
        <w:rPr>
          <w:rFonts w:ascii="Bookman Old Style" w:hAnsi="Bookman Old Style"/>
          <w:sz w:val="28"/>
          <w:szCs w:val="28"/>
        </w:rPr>
        <w:t xml:space="preserve">32 de la Ley 906 de 2004, </w:t>
      </w:r>
      <w:r>
        <w:rPr>
          <w:rFonts w:ascii="Bookman Old Style" w:hAnsi="Bookman Old Style"/>
          <w:sz w:val="28"/>
          <w:szCs w:val="28"/>
        </w:rPr>
        <w:lastRenderedPageBreak/>
        <w:t xml:space="preserve">para que en cualquier momento </w:t>
      </w:r>
      <w:r w:rsidR="00386E35">
        <w:rPr>
          <w:rFonts w:ascii="Bookman Old Style" w:hAnsi="Bookman Old Style"/>
          <w:sz w:val="28"/>
          <w:szCs w:val="28"/>
        </w:rPr>
        <w:t xml:space="preserve">de la indagación o de la investigación </w:t>
      </w:r>
      <w:r>
        <w:rPr>
          <w:rFonts w:ascii="Bookman Old Style" w:hAnsi="Bookman Old Style"/>
          <w:sz w:val="28"/>
          <w:szCs w:val="28"/>
        </w:rPr>
        <w:t>pueda solicitar la preclusión</w:t>
      </w:r>
      <w:r w:rsidR="005F3E7F">
        <w:rPr>
          <w:rFonts w:ascii="Bookman Old Style" w:hAnsi="Bookman Old Style"/>
          <w:sz w:val="28"/>
          <w:szCs w:val="28"/>
        </w:rPr>
        <w:t xml:space="preserve"> y, en esa medida, </w:t>
      </w:r>
      <w:r w:rsidR="00386E35">
        <w:rPr>
          <w:rFonts w:ascii="Bookman Old Style" w:hAnsi="Bookman Old Style"/>
          <w:sz w:val="28"/>
          <w:szCs w:val="28"/>
        </w:rPr>
        <w:t xml:space="preserve">queda </w:t>
      </w:r>
      <w:r w:rsidR="005F3E7F">
        <w:rPr>
          <w:rFonts w:ascii="Bookman Old Style" w:hAnsi="Bookman Old Style"/>
          <w:sz w:val="28"/>
          <w:szCs w:val="28"/>
        </w:rPr>
        <w:t>legitimada como la que más para interponer los recursos frente a decisiones contrarias a sus pretensiones.</w:t>
      </w:r>
    </w:p>
    <w:p w:rsidR="0031367B" w:rsidRDefault="0031367B" w:rsidP="003E389A">
      <w:pPr>
        <w:spacing w:line="360" w:lineRule="auto"/>
        <w:jc w:val="both"/>
        <w:rPr>
          <w:rFonts w:ascii="Bookman Old Style" w:hAnsi="Bookman Old Style"/>
          <w:sz w:val="28"/>
          <w:szCs w:val="28"/>
        </w:rPr>
      </w:pPr>
    </w:p>
    <w:p w:rsidR="0031367B" w:rsidRDefault="0031367B" w:rsidP="003E389A">
      <w:pPr>
        <w:spacing w:line="360" w:lineRule="auto"/>
        <w:jc w:val="both"/>
        <w:rPr>
          <w:rFonts w:ascii="Bookman Old Style" w:hAnsi="Bookman Old Style"/>
          <w:sz w:val="28"/>
          <w:szCs w:val="28"/>
        </w:rPr>
      </w:pPr>
      <w:r>
        <w:rPr>
          <w:rFonts w:ascii="Bookman Old Style" w:hAnsi="Bookman Old Style"/>
          <w:sz w:val="28"/>
          <w:szCs w:val="28"/>
        </w:rPr>
        <w:t xml:space="preserve">Situación totalmente diferente </w:t>
      </w:r>
      <w:r w:rsidR="00B36ABB">
        <w:rPr>
          <w:rFonts w:ascii="Bookman Old Style" w:hAnsi="Bookman Old Style"/>
          <w:sz w:val="28"/>
          <w:szCs w:val="28"/>
        </w:rPr>
        <w:t>se presenta en relación con l</w:t>
      </w:r>
      <w:r>
        <w:rPr>
          <w:rFonts w:ascii="Bookman Old Style" w:hAnsi="Bookman Old Style"/>
          <w:sz w:val="28"/>
          <w:szCs w:val="28"/>
        </w:rPr>
        <w:t xml:space="preserve">a defensa, quien durante la fase del juzgamiento, por las causales 1 y 3 del artículo 332 </w:t>
      </w:r>
      <w:proofErr w:type="spellStart"/>
      <w:r w:rsidR="00697E3A">
        <w:rPr>
          <w:rFonts w:ascii="Bookman Old Style" w:hAnsi="Bookman Old Style"/>
          <w:sz w:val="28"/>
          <w:szCs w:val="28"/>
        </w:rPr>
        <w:t>i</w:t>
      </w:r>
      <w:r>
        <w:rPr>
          <w:rFonts w:ascii="Bookman Old Style" w:hAnsi="Bookman Old Style"/>
          <w:sz w:val="28"/>
          <w:szCs w:val="28"/>
        </w:rPr>
        <w:t>dem</w:t>
      </w:r>
      <w:proofErr w:type="spellEnd"/>
      <w:r>
        <w:rPr>
          <w:rFonts w:ascii="Bookman Old Style" w:hAnsi="Bookman Old Style"/>
          <w:sz w:val="28"/>
          <w:szCs w:val="28"/>
        </w:rPr>
        <w:t>, podrá realizar tal postulación,</w:t>
      </w:r>
      <w:r w:rsidR="003B6562">
        <w:rPr>
          <w:rFonts w:ascii="Bookman Old Style" w:hAnsi="Bookman Old Style"/>
          <w:sz w:val="28"/>
          <w:szCs w:val="28"/>
        </w:rPr>
        <w:t xml:space="preserve"> </w:t>
      </w:r>
      <w:r w:rsidR="006014FC">
        <w:rPr>
          <w:rFonts w:ascii="Bookman Old Style" w:hAnsi="Bookman Old Style"/>
          <w:sz w:val="28"/>
          <w:szCs w:val="28"/>
        </w:rPr>
        <w:t xml:space="preserve">razón por la cual, si el estadio procesal es el de la indagación </w:t>
      </w:r>
      <w:r w:rsidR="005D0C1F">
        <w:rPr>
          <w:rFonts w:ascii="Bookman Old Style" w:hAnsi="Bookman Old Style"/>
          <w:sz w:val="28"/>
          <w:szCs w:val="28"/>
        </w:rPr>
        <w:t>o de la investigación y la postulación la hizo la Fiscalía General de la Nación, como única que p</w:t>
      </w:r>
      <w:r w:rsidR="007F3909">
        <w:rPr>
          <w:rFonts w:ascii="Bookman Old Style" w:hAnsi="Bookman Old Style"/>
          <w:sz w:val="28"/>
          <w:szCs w:val="28"/>
        </w:rPr>
        <w:t>odía</w:t>
      </w:r>
      <w:r w:rsidR="005D0C1F">
        <w:rPr>
          <w:rFonts w:ascii="Bookman Old Style" w:hAnsi="Bookman Old Style"/>
          <w:sz w:val="28"/>
          <w:szCs w:val="28"/>
        </w:rPr>
        <w:t xml:space="preserve"> hacerlo, tanto la defensa como el Ministerio Público ca</w:t>
      </w:r>
      <w:bookmarkStart w:id="0" w:name="_GoBack"/>
      <w:bookmarkEnd w:id="0"/>
      <w:r w:rsidR="005D0C1F">
        <w:rPr>
          <w:rFonts w:ascii="Bookman Old Style" w:hAnsi="Bookman Old Style"/>
          <w:sz w:val="28"/>
          <w:szCs w:val="28"/>
        </w:rPr>
        <w:t>recen de legitimidad para interponer recursos contra la decisión que niega la preclusión en esas fases iniciales del proceso.</w:t>
      </w:r>
    </w:p>
    <w:p w:rsidR="00D3213E" w:rsidRDefault="00D3213E" w:rsidP="003E389A">
      <w:pPr>
        <w:spacing w:line="360" w:lineRule="auto"/>
        <w:jc w:val="both"/>
        <w:rPr>
          <w:rFonts w:ascii="Bookman Old Style" w:hAnsi="Bookman Old Style"/>
          <w:sz w:val="28"/>
          <w:szCs w:val="28"/>
        </w:rPr>
      </w:pPr>
    </w:p>
    <w:p w:rsidR="00D3213E" w:rsidRDefault="00D3213E" w:rsidP="003E389A">
      <w:pPr>
        <w:spacing w:line="360" w:lineRule="auto"/>
        <w:jc w:val="both"/>
        <w:rPr>
          <w:rFonts w:ascii="Bookman Old Style" w:hAnsi="Bookman Old Style"/>
          <w:sz w:val="28"/>
          <w:szCs w:val="28"/>
        </w:rPr>
      </w:pPr>
      <w:r>
        <w:rPr>
          <w:rFonts w:ascii="Bookman Old Style" w:hAnsi="Bookman Old Style"/>
          <w:sz w:val="28"/>
          <w:szCs w:val="28"/>
        </w:rPr>
        <w:t xml:space="preserve">Excepcionalmente, tanto la defensa como el Ministerio </w:t>
      </w:r>
      <w:proofErr w:type="gramStart"/>
      <w:r>
        <w:rPr>
          <w:rFonts w:ascii="Bookman Old Style" w:hAnsi="Bookman Old Style"/>
          <w:sz w:val="28"/>
          <w:szCs w:val="28"/>
        </w:rPr>
        <w:t>Público</w:t>
      </w:r>
      <w:r w:rsidR="003D0D01">
        <w:rPr>
          <w:rFonts w:ascii="Bookman Old Style" w:hAnsi="Bookman Old Style"/>
          <w:sz w:val="28"/>
          <w:szCs w:val="28"/>
        </w:rPr>
        <w:t>,</w:t>
      </w:r>
      <w:proofErr w:type="gramEnd"/>
      <w:r w:rsidR="003D0D01">
        <w:rPr>
          <w:rFonts w:ascii="Bookman Old Style" w:hAnsi="Bookman Old Style"/>
          <w:sz w:val="28"/>
          <w:szCs w:val="28"/>
        </w:rPr>
        <w:t xml:space="preserve"> podrán hacer la solicitud de preclusión durante la fase de indagación o investigación, por vencimiento de términos para la actividad investigativa, conforme con los artículos 175, 294 y 332 numeral 7 de la Ley 906 de 2004.</w:t>
      </w:r>
    </w:p>
    <w:p w:rsidR="00911C3F" w:rsidRDefault="00911C3F" w:rsidP="003E389A">
      <w:pPr>
        <w:spacing w:line="360" w:lineRule="auto"/>
        <w:jc w:val="both"/>
        <w:rPr>
          <w:rFonts w:ascii="Bookman Old Style" w:hAnsi="Bookman Old Style"/>
          <w:sz w:val="28"/>
          <w:szCs w:val="28"/>
        </w:rPr>
      </w:pPr>
    </w:p>
    <w:p w:rsidR="00911C3F" w:rsidRDefault="00911C3F" w:rsidP="003E389A">
      <w:pPr>
        <w:spacing w:line="360" w:lineRule="auto"/>
        <w:jc w:val="both"/>
        <w:rPr>
          <w:rFonts w:ascii="Bookman Old Style" w:hAnsi="Bookman Old Style"/>
          <w:sz w:val="28"/>
          <w:szCs w:val="28"/>
        </w:rPr>
      </w:pPr>
      <w:r>
        <w:rPr>
          <w:rFonts w:ascii="Bookman Old Style" w:hAnsi="Bookman Old Style"/>
          <w:sz w:val="28"/>
          <w:szCs w:val="28"/>
        </w:rPr>
        <w:t xml:space="preserve">Lo anterior, por cuanto, si la misma ley procesal penal está limitando </w:t>
      </w:r>
      <w:r w:rsidR="004974B4">
        <w:rPr>
          <w:rFonts w:ascii="Bookman Old Style" w:hAnsi="Bookman Old Style"/>
          <w:sz w:val="28"/>
          <w:szCs w:val="28"/>
        </w:rPr>
        <w:t xml:space="preserve">a </w:t>
      </w:r>
      <w:r w:rsidR="00E03D87">
        <w:rPr>
          <w:rFonts w:ascii="Bookman Old Style" w:hAnsi="Bookman Old Style"/>
          <w:sz w:val="28"/>
          <w:szCs w:val="28"/>
        </w:rPr>
        <w:t>la defensa</w:t>
      </w:r>
      <w:r w:rsidR="004974B4">
        <w:rPr>
          <w:rFonts w:ascii="Bookman Old Style" w:hAnsi="Bookman Old Style"/>
          <w:sz w:val="28"/>
          <w:szCs w:val="28"/>
        </w:rPr>
        <w:t xml:space="preserve">, </w:t>
      </w:r>
      <w:r>
        <w:rPr>
          <w:rFonts w:ascii="Bookman Old Style" w:hAnsi="Bookman Old Style"/>
          <w:sz w:val="28"/>
          <w:szCs w:val="28"/>
        </w:rPr>
        <w:t xml:space="preserve">la posibilidad de solicitar la preclusión a </w:t>
      </w:r>
      <w:r w:rsidR="00307EE4">
        <w:rPr>
          <w:rFonts w:ascii="Bookman Old Style" w:hAnsi="Bookman Old Style"/>
          <w:sz w:val="28"/>
          <w:szCs w:val="28"/>
        </w:rPr>
        <w:t>d</w:t>
      </w:r>
      <w:r>
        <w:rPr>
          <w:rFonts w:ascii="Bookman Old Style" w:hAnsi="Bookman Old Style"/>
          <w:sz w:val="28"/>
          <w:szCs w:val="28"/>
        </w:rPr>
        <w:t xml:space="preserve">os eventos específicos y en una fase </w:t>
      </w:r>
      <w:r w:rsidR="002F3133">
        <w:rPr>
          <w:rFonts w:ascii="Bookman Old Style" w:hAnsi="Bookman Old Style"/>
          <w:sz w:val="28"/>
          <w:szCs w:val="28"/>
        </w:rPr>
        <w:t>concreta</w:t>
      </w:r>
      <w:r>
        <w:rPr>
          <w:rFonts w:ascii="Bookman Old Style" w:hAnsi="Bookman Old Style"/>
          <w:sz w:val="28"/>
          <w:szCs w:val="28"/>
        </w:rPr>
        <w:t xml:space="preserve"> de la actuación</w:t>
      </w:r>
      <w:r w:rsidR="00E03D87">
        <w:rPr>
          <w:rFonts w:ascii="Bookman Old Style" w:hAnsi="Bookman Old Style"/>
          <w:sz w:val="28"/>
          <w:szCs w:val="28"/>
        </w:rPr>
        <w:t xml:space="preserve"> (juicio)</w:t>
      </w:r>
      <w:r w:rsidR="004974B4">
        <w:rPr>
          <w:rFonts w:ascii="Bookman Old Style" w:hAnsi="Bookman Old Style"/>
          <w:sz w:val="28"/>
          <w:szCs w:val="28"/>
        </w:rPr>
        <w:t xml:space="preserve">, </w:t>
      </w:r>
      <w:r w:rsidR="00307EE4">
        <w:rPr>
          <w:rFonts w:ascii="Bookman Old Style" w:hAnsi="Bookman Old Style"/>
          <w:sz w:val="28"/>
          <w:szCs w:val="28"/>
        </w:rPr>
        <w:t xml:space="preserve">además de la excepción antes señalada, </w:t>
      </w:r>
      <w:r w:rsidR="004974B4">
        <w:rPr>
          <w:rFonts w:ascii="Bookman Old Style" w:hAnsi="Bookman Old Style"/>
          <w:sz w:val="28"/>
          <w:szCs w:val="28"/>
        </w:rPr>
        <w:t>mal se haría en habilitarl</w:t>
      </w:r>
      <w:r w:rsidR="00E03D87">
        <w:rPr>
          <w:rFonts w:ascii="Bookman Old Style" w:hAnsi="Bookman Old Style"/>
          <w:sz w:val="28"/>
          <w:szCs w:val="28"/>
        </w:rPr>
        <w:t>e</w:t>
      </w:r>
      <w:r w:rsidR="00AD1EF9">
        <w:rPr>
          <w:rFonts w:ascii="Bookman Old Style" w:hAnsi="Bookman Old Style"/>
          <w:sz w:val="28"/>
          <w:szCs w:val="28"/>
        </w:rPr>
        <w:t xml:space="preserve"> indirectamente una facultad de acción durante la indagación o investigación, por </w:t>
      </w:r>
      <w:r w:rsidR="00AD1EF9">
        <w:rPr>
          <w:rFonts w:ascii="Bookman Old Style" w:hAnsi="Bookman Old Style"/>
          <w:sz w:val="28"/>
          <w:szCs w:val="28"/>
        </w:rPr>
        <w:lastRenderedPageBreak/>
        <w:t>medio de una impugnación</w:t>
      </w:r>
      <w:r w:rsidR="004974B4">
        <w:rPr>
          <w:rFonts w:ascii="Bookman Old Style" w:hAnsi="Bookman Old Style"/>
          <w:sz w:val="28"/>
          <w:szCs w:val="28"/>
        </w:rPr>
        <w:t xml:space="preserve">, cuando la postulación </w:t>
      </w:r>
      <w:r w:rsidR="00AD1EF9">
        <w:rPr>
          <w:rFonts w:ascii="Bookman Old Style" w:hAnsi="Bookman Old Style"/>
          <w:sz w:val="28"/>
          <w:szCs w:val="28"/>
        </w:rPr>
        <w:t>solo estuvo y podía estar en cabeza del ente acusador.</w:t>
      </w:r>
    </w:p>
    <w:p w:rsidR="00DD62CD" w:rsidRDefault="00DD62CD" w:rsidP="003E389A">
      <w:pPr>
        <w:spacing w:line="360" w:lineRule="auto"/>
        <w:jc w:val="both"/>
        <w:rPr>
          <w:rFonts w:ascii="Bookman Old Style" w:hAnsi="Bookman Old Style"/>
          <w:sz w:val="28"/>
          <w:szCs w:val="28"/>
        </w:rPr>
      </w:pPr>
    </w:p>
    <w:p w:rsidR="00DD62CD" w:rsidRDefault="00DD62CD" w:rsidP="003E389A">
      <w:pPr>
        <w:spacing w:line="360" w:lineRule="auto"/>
        <w:jc w:val="both"/>
        <w:rPr>
          <w:rFonts w:ascii="Bookman Old Style" w:hAnsi="Bookman Old Style"/>
          <w:sz w:val="28"/>
          <w:szCs w:val="28"/>
        </w:rPr>
      </w:pPr>
      <w:r>
        <w:rPr>
          <w:rFonts w:ascii="Bookman Old Style" w:hAnsi="Bookman Old Style"/>
          <w:sz w:val="28"/>
          <w:szCs w:val="28"/>
        </w:rPr>
        <w:t>El punto ha sido decantado de tiempo atrás por la Sala de Casación Penal de esta Corporación, como se indicó en apartados anteriores,</w:t>
      </w:r>
      <w:r w:rsidR="001C151A">
        <w:rPr>
          <w:rFonts w:ascii="Bookman Old Style" w:hAnsi="Bookman Old Style"/>
          <w:sz w:val="28"/>
          <w:szCs w:val="28"/>
        </w:rPr>
        <w:t xml:space="preserve"> en el sentido </w:t>
      </w:r>
      <w:r w:rsidR="00772E35">
        <w:rPr>
          <w:rFonts w:ascii="Bookman Old Style" w:hAnsi="Bookman Old Style"/>
          <w:sz w:val="28"/>
          <w:szCs w:val="28"/>
        </w:rPr>
        <w:t xml:space="preserve">de </w:t>
      </w:r>
      <w:r w:rsidR="001C151A">
        <w:rPr>
          <w:rFonts w:ascii="Bookman Old Style" w:hAnsi="Bookman Old Style"/>
          <w:sz w:val="28"/>
          <w:szCs w:val="28"/>
        </w:rPr>
        <w:t xml:space="preserve">que la defensa no está legitimada para apelar la decisión por medio de la cual se niega la solicitud de preclusión presentada por la </w:t>
      </w:r>
      <w:r w:rsidR="00871B52">
        <w:rPr>
          <w:rFonts w:ascii="Bookman Old Style" w:hAnsi="Bookman Old Style"/>
          <w:sz w:val="28"/>
          <w:szCs w:val="28"/>
        </w:rPr>
        <w:t>Fiscalía General de la Nación, en los siguientes términos:</w:t>
      </w:r>
    </w:p>
    <w:p w:rsidR="00871B52" w:rsidRDefault="00871B52" w:rsidP="003E389A">
      <w:pPr>
        <w:spacing w:line="360" w:lineRule="auto"/>
        <w:jc w:val="both"/>
        <w:rPr>
          <w:rFonts w:ascii="Bookman Old Style" w:hAnsi="Bookman Old Style"/>
          <w:sz w:val="28"/>
          <w:szCs w:val="28"/>
        </w:rPr>
      </w:pPr>
    </w:p>
    <w:p w:rsidR="0089718E" w:rsidRPr="0089718E" w:rsidRDefault="00871B52" w:rsidP="0089718E">
      <w:pPr>
        <w:spacing w:line="360" w:lineRule="auto"/>
        <w:ind w:left="708"/>
        <w:jc w:val="both"/>
        <w:rPr>
          <w:rFonts w:ascii="Bookman Old Style" w:hAnsi="Bookman Old Style" w:cs="Arial"/>
          <w:i/>
          <w:sz w:val="24"/>
          <w:szCs w:val="24"/>
        </w:rPr>
      </w:pPr>
      <w:r>
        <w:rPr>
          <w:rFonts w:ascii="Bookman Old Style" w:hAnsi="Bookman Old Style"/>
          <w:sz w:val="28"/>
          <w:szCs w:val="28"/>
        </w:rPr>
        <w:t>“</w:t>
      </w:r>
      <w:r w:rsidR="0089718E" w:rsidRPr="0089718E">
        <w:rPr>
          <w:rFonts w:ascii="Bookman Old Style" w:hAnsi="Bookman Old Style" w:cs="Arial"/>
          <w:i/>
          <w:sz w:val="24"/>
          <w:szCs w:val="24"/>
        </w:rPr>
        <w:t>La Sala ha tenido oportunidad de precisar que la parte llamada a impugnar la negativa del juez a declarar la preclusión es la misma que se encuentra habilitada para hacer la petición, esto es, la Fiscalía. En ese contexto, los demás intervinientes deben estarse a los argumentos de aquella para, luego, actuar como no recurrentes, ya coadyuvando, ya oponiéndose a las pretensiones del ente acusador, en tanto en las fases de indagación e investigación la ley confirió exclusivamente a este la potestad de postular ese tipo de decisiones; de tal forma que de permitir impugnaciones a una parte diferente comportaría que se facultase a un interviniente diverso para realizar tales peticiones  en contra del mandato legal (autos del 1º y 15 de julio de 2009, 15 de febrero y 27 de julio de 2010, radicados 31.763, 31.780, 31.767 y 34.043, respectivamente).</w:t>
      </w:r>
    </w:p>
    <w:p w:rsidR="0089718E" w:rsidRPr="00187937" w:rsidRDefault="0089718E" w:rsidP="0089718E">
      <w:pPr>
        <w:spacing w:line="480" w:lineRule="auto"/>
        <w:jc w:val="both"/>
        <w:rPr>
          <w:rFonts w:ascii="Arial Narrow" w:hAnsi="Arial Narrow" w:cs="Arial"/>
          <w:i/>
          <w:sz w:val="24"/>
          <w:szCs w:val="24"/>
        </w:rPr>
      </w:pPr>
    </w:p>
    <w:p w:rsidR="0089718E" w:rsidRDefault="0089718E" w:rsidP="0089718E">
      <w:pPr>
        <w:spacing w:line="360" w:lineRule="auto"/>
        <w:ind w:left="708"/>
        <w:jc w:val="both"/>
        <w:rPr>
          <w:rFonts w:ascii="Arial Narrow" w:hAnsi="Arial Narrow" w:cs="Arial"/>
          <w:sz w:val="24"/>
          <w:szCs w:val="24"/>
        </w:rPr>
      </w:pPr>
      <w:r w:rsidRPr="0089718E">
        <w:rPr>
          <w:rFonts w:ascii="Bookman Old Style" w:hAnsi="Bookman Old Style" w:cs="Arial"/>
          <w:i/>
          <w:sz w:val="24"/>
          <w:szCs w:val="24"/>
        </w:rPr>
        <w:t xml:space="preserve">Así, la regla general respecto de que las providencias interlocutorias, carácter que ostenta la que niega la preclusión solicitada por la Fiscalía, admiten el recurso, debe ser valorada de conformidad con el sistema de partes implementado en la Ley 906 del 2004, de donde resulta que ese medio de gravamen solamente puede ser propuesto por el sujeto procesal legitimado para hacer </w:t>
      </w:r>
      <w:r w:rsidRPr="0089718E">
        <w:rPr>
          <w:rFonts w:ascii="Bookman Old Style" w:hAnsi="Bookman Old Style" w:cs="Arial"/>
          <w:i/>
          <w:sz w:val="24"/>
          <w:szCs w:val="24"/>
        </w:rPr>
        <w:lastRenderedPageBreak/>
        <w:t>la solicitud, en tanto si por mandato legal solamente la Fiscalía puede hacer lo último y esta declina recurrir la negativa del juez, esto es, muestra conformidad con lo resuelto, mal podría permitirse que un interviniente diverso impugnase con la pretensión de que la segunda instancia disponga la preclusión, pues en tal supuesto lo que acontecería en la práctica sería la habilitación de ese recurrente para reclamar y lograr la preclusión, cuando ello solamente está permitido al “dueño” de la acción penal, que lo es la Fiscalía</w:t>
      </w:r>
      <w:r w:rsidR="0051475B">
        <w:rPr>
          <w:rStyle w:val="Refdenotaalpie"/>
          <w:rFonts w:ascii="Bookman Old Style" w:hAnsi="Bookman Old Style" w:cs="Arial"/>
          <w:i/>
          <w:sz w:val="24"/>
          <w:szCs w:val="24"/>
        </w:rPr>
        <w:footnoteReference w:id="1"/>
      </w:r>
      <w:r w:rsidR="008A3DD2">
        <w:rPr>
          <w:rFonts w:ascii="Arial Narrow" w:hAnsi="Arial Narrow" w:cs="Arial"/>
          <w:sz w:val="24"/>
          <w:szCs w:val="24"/>
        </w:rPr>
        <w:t>.</w:t>
      </w:r>
    </w:p>
    <w:p w:rsidR="00A47E74" w:rsidRPr="008A3DD2" w:rsidRDefault="00A47E74" w:rsidP="0089718E">
      <w:pPr>
        <w:spacing w:line="360" w:lineRule="auto"/>
        <w:ind w:left="708"/>
        <w:jc w:val="both"/>
        <w:rPr>
          <w:rFonts w:ascii="Arial Narrow" w:hAnsi="Arial Narrow" w:cs="Arial"/>
          <w:sz w:val="24"/>
          <w:szCs w:val="24"/>
        </w:rPr>
      </w:pPr>
    </w:p>
    <w:p w:rsidR="00767D1F" w:rsidRDefault="00A97515" w:rsidP="003E389A">
      <w:pPr>
        <w:spacing w:line="360" w:lineRule="auto"/>
        <w:jc w:val="both"/>
        <w:rPr>
          <w:rFonts w:ascii="Bookman Old Style" w:hAnsi="Bookman Old Style"/>
          <w:sz w:val="28"/>
          <w:szCs w:val="28"/>
        </w:rPr>
      </w:pPr>
      <w:r>
        <w:rPr>
          <w:rFonts w:ascii="Bookman Old Style" w:hAnsi="Bookman Old Style"/>
          <w:sz w:val="28"/>
          <w:szCs w:val="28"/>
        </w:rPr>
        <w:t>Y, recientemente, esta Corporación, a través de la Sala de Casación Penal</w:t>
      </w:r>
      <w:r w:rsidR="00265000">
        <w:rPr>
          <w:rFonts w:ascii="Bookman Old Style" w:hAnsi="Bookman Old Style"/>
          <w:sz w:val="28"/>
          <w:szCs w:val="28"/>
        </w:rPr>
        <w:t>, se ha referido a las limitaciones que tiene la defensa, en cuanto a la posibilidad de solicitar la preclusión</w:t>
      </w:r>
      <w:r w:rsidR="00A47E74">
        <w:rPr>
          <w:rFonts w:ascii="Bookman Old Style" w:hAnsi="Bookman Old Style"/>
          <w:sz w:val="28"/>
          <w:szCs w:val="28"/>
        </w:rPr>
        <w:t>, de la siguiente manera:</w:t>
      </w:r>
    </w:p>
    <w:p w:rsidR="00A47E74" w:rsidRDefault="00A47E74" w:rsidP="003E389A">
      <w:pPr>
        <w:spacing w:line="360" w:lineRule="auto"/>
        <w:jc w:val="both"/>
        <w:rPr>
          <w:rFonts w:ascii="Bookman Old Style" w:hAnsi="Bookman Old Style"/>
          <w:sz w:val="28"/>
          <w:szCs w:val="28"/>
        </w:rPr>
      </w:pPr>
    </w:p>
    <w:p w:rsidR="000811A1" w:rsidRPr="00A47E74" w:rsidRDefault="00A47E74" w:rsidP="00A47E74">
      <w:pPr>
        <w:spacing w:line="360" w:lineRule="auto"/>
        <w:ind w:left="708"/>
        <w:jc w:val="both"/>
        <w:rPr>
          <w:rFonts w:ascii="Bookman Old Style" w:hAnsi="Bookman Old Style"/>
          <w:sz w:val="28"/>
          <w:szCs w:val="28"/>
        </w:rPr>
      </w:pPr>
      <w:r>
        <w:rPr>
          <w:rFonts w:ascii="Bookman Old Style" w:hAnsi="Bookman Old Style"/>
          <w:sz w:val="28"/>
          <w:szCs w:val="28"/>
        </w:rPr>
        <w:t>“</w:t>
      </w:r>
      <w:r w:rsidRPr="00A47E74">
        <w:rPr>
          <w:rFonts w:ascii="Bookman Old Style" w:hAnsi="Bookman Old Style"/>
          <w:i/>
          <w:sz w:val="24"/>
          <w:szCs w:val="24"/>
        </w:rPr>
        <w:t xml:space="preserve">En este sentido, </w:t>
      </w:r>
      <w:r w:rsidR="000811A1" w:rsidRPr="00A47E74">
        <w:rPr>
          <w:rFonts w:ascii="Bookman Old Style" w:hAnsi="Bookman Old Style" w:cs="Arial"/>
          <w:i/>
          <w:sz w:val="24"/>
          <w:szCs w:val="24"/>
        </w:rPr>
        <w:t xml:space="preserve"> advertida la Sala de la tarea de simple coadyuvancia atribuida a la defensa cuando se trata de la  facultad que por ley se atribuye a la Fiscalía para solicitar en la etapa investigativa la preclusión de la acción penal, se ha entendido necesaria consecuencia lógico –jurídica de ello, que similar papel desempeñe en las posibilidades de impugnación, esto es, que al carecer de legitimidad en la pretensión, no puede oponerse de manera directa a la decisión denegatoria y, en consecuencia, su intervención en este caso depende de que la Fiscalía efectivamente controvierta lo resuelto por el A quo, en cuyo caso el traslado para el defensor opera en calidad de no impugnante, limitado por los argumentos del apelante, a fin de coadyuvarlos</w:t>
      </w:r>
      <w:r>
        <w:rPr>
          <w:rStyle w:val="Refdenotaalpie"/>
          <w:rFonts w:ascii="Bookman Old Style" w:hAnsi="Bookman Old Style" w:cs="Arial"/>
          <w:i/>
          <w:sz w:val="24"/>
          <w:szCs w:val="24"/>
        </w:rPr>
        <w:footnoteReference w:id="2"/>
      </w:r>
      <w:r w:rsidR="000811A1">
        <w:rPr>
          <w:rFonts w:ascii="Bookman Old Style" w:hAnsi="Bookman Old Style" w:cs="Arial"/>
          <w:sz w:val="28"/>
          <w:szCs w:val="28"/>
        </w:rPr>
        <w:t xml:space="preserve">. </w:t>
      </w:r>
    </w:p>
    <w:p w:rsidR="00A47E74" w:rsidRDefault="00A47E74" w:rsidP="000811A1">
      <w:pPr>
        <w:spacing w:line="360" w:lineRule="auto"/>
        <w:jc w:val="both"/>
        <w:rPr>
          <w:rFonts w:ascii="Bookman Old Style" w:hAnsi="Bookman Old Style" w:cs="Arial"/>
          <w:sz w:val="28"/>
          <w:szCs w:val="28"/>
        </w:rPr>
      </w:pPr>
    </w:p>
    <w:p w:rsidR="000811A1" w:rsidRDefault="00A47E74" w:rsidP="00A47E74">
      <w:pPr>
        <w:spacing w:line="360" w:lineRule="auto"/>
        <w:jc w:val="both"/>
        <w:rPr>
          <w:rFonts w:ascii="Bookman Old Style" w:hAnsi="Bookman Old Style" w:cs="Arial"/>
          <w:sz w:val="28"/>
          <w:szCs w:val="28"/>
        </w:rPr>
      </w:pPr>
      <w:r>
        <w:rPr>
          <w:rFonts w:ascii="Bookman Old Style" w:hAnsi="Bookman Old Style" w:cs="Arial"/>
          <w:sz w:val="28"/>
          <w:szCs w:val="28"/>
        </w:rPr>
        <w:lastRenderedPageBreak/>
        <w:t xml:space="preserve">Así las cosas, debe entenderse la participación de la defensa en </w:t>
      </w:r>
      <w:r w:rsidR="00D50D05">
        <w:rPr>
          <w:rFonts w:ascii="Bookman Old Style" w:hAnsi="Bookman Old Style" w:cs="Arial"/>
          <w:sz w:val="28"/>
          <w:szCs w:val="28"/>
        </w:rPr>
        <w:t>el acto de negar la preclusión de la indagación o de la investigación, como</w:t>
      </w:r>
      <w:r>
        <w:rPr>
          <w:rFonts w:ascii="Bookman Old Style" w:hAnsi="Bookman Old Style" w:cs="Arial"/>
          <w:sz w:val="28"/>
          <w:szCs w:val="28"/>
        </w:rPr>
        <w:t xml:space="preserve"> actividad </w:t>
      </w:r>
      <w:r w:rsidR="002F6E0F">
        <w:rPr>
          <w:rFonts w:ascii="Bookman Old Style" w:hAnsi="Bookman Old Style" w:cs="Arial"/>
          <w:sz w:val="28"/>
          <w:szCs w:val="28"/>
        </w:rPr>
        <w:t xml:space="preserve">simplemente </w:t>
      </w:r>
      <w:r>
        <w:rPr>
          <w:rFonts w:ascii="Bookman Old Style" w:hAnsi="Bookman Old Style" w:cs="Arial"/>
          <w:sz w:val="28"/>
          <w:szCs w:val="28"/>
        </w:rPr>
        <w:t>accesoria del trámite</w:t>
      </w:r>
      <w:r>
        <w:rPr>
          <w:rStyle w:val="Refdenotaalpie"/>
          <w:rFonts w:ascii="Bookman Old Style" w:hAnsi="Bookman Old Style" w:cs="Arial"/>
          <w:sz w:val="28"/>
          <w:szCs w:val="28"/>
        </w:rPr>
        <w:footnoteReference w:id="3"/>
      </w:r>
      <w:r w:rsidR="005E5C04">
        <w:rPr>
          <w:rFonts w:ascii="Bookman Old Style" w:hAnsi="Bookman Old Style" w:cs="Arial"/>
          <w:sz w:val="28"/>
          <w:szCs w:val="28"/>
        </w:rPr>
        <w:t>,</w:t>
      </w:r>
      <w:r w:rsidR="002F6E0F">
        <w:rPr>
          <w:rFonts w:ascii="Bookman Old Style" w:hAnsi="Bookman Old Style" w:cs="Arial"/>
          <w:sz w:val="28"/>
          <w:szCs w:val="28"/>
        </w:rPr>
        <w:t xml:space="preserve"> motivo por el cual, la argumentación de la defensa dentro de la presente actuación</w:t>
      </w:r>
      <w:r w:rsidR="00A07DE6">
        <w:rPr>
          <w:rFonts w:ascii="Bookman Old Style" w:hAnsi="Bookman Old Style" w:cs="Arial"/>
          <w:sz w:val="28"/>
          <w:szCs w:val="28"/>
        </w:rPr>
        <w:t xml:space="preserve"> debe tenerse</w:t>
      </w:r>
      <w:r w:rsidR="002F6E0F">
        <w:rPr>
          <w:rFonts w:ascii="Bookman Old Style" w:hAnsi="Bookman Old Style" w:cs="Arial"/>
          <w:sz w:val="28"/>
          <w:szCs w:val="28"/>
        </w:rPr>
        <w:t xml:space="preserve"> como propia de la coadyuvancia que implica su calidad de no impugnante.</w:t>
      </w:r>
    </w:p>
    <w:p w:rsidR="002F6E0F" w:rsidRDefault="002F6E0F" w:rsidP="00A47E74">
      <w:pPr>
        <w:spacing w:line="360" w:lineRule="auto"/>
        <w:jc w:val="both"/>
        <w:rPr>
          <w:rFonts w:ascii="Bookman Old Style" w:hAnsi="Bookman Old Style" w:cs="Arial"/>
          <w:sz w:val="28"/>
          <w:szCs w:val="28"/>
        </w:rPr>
      </w:pPr>
    </w:p>
    <w:p w:rsidR="0061478A" w:rsidRDefault="002F6E0F" w:rsidP="003E389A">
      <w:pPr>
        <w:spacing w:line="360" w:lineRule="auto"/>
        <w:jc w:val="both"/>
        <w:rPr>
          <w:rFonts w:ascii="Bookman Old Style" w:hAnsi="Bookman Old Style"/>
          <w:sz w:val="28"/>
          <w:szCs w:val="28"/>
        </w:rPr>
      </w:pPr>
      <w:r>
        <w:rPr>
          <w:rFonts w:ascii="Bookman Old Style" w:hAnsi="Bookman Old Style" w:cs="Arial"/>
          <w:sz w:val="28"/>
          <w:szCs w:val="28"/>
        </w:rPr>
        <w:t>Se quiere significar</w:t>
      </w:r>
      <w:r w:rsidR="00B96CF9">
        <w:rPr>
          <w:rFonts w:ascii="Bookman Old Style" w:hAnsi="Bookman Old Style" w:cs="Arial"/>
          <w:sz w:val="28"/>
          <w:szCs w:val="28"/>
        </w:rPr>
        <w:t>,</w:t>
      </w:r>
      <w:r>
        <w:rPr>
          <w:rFonts w:ascii="Bookman Old Style" w:hAnsi="Bookman Old Style" w:cs="Arial"/>
          <w:sz w:val="28"/>
          <w:szCs w:val="28"/>
        </w:rPr>
        <w:t xml:space="preserve"> igualmente y por último, que según decisión de la Corte Constitucional</w:t>
      </w:r>
      <w:r w:rsidR="006D0D44">
        <w:rPr>
          <w:rStyle w:val="Refdenotaalpie"/>
          <w:rFonts w:ascii="Bookman Old Style" w:hAnsi="Bookman Old Style"/>
          <w:szCs w:val="28"/>
        </w:rPr>
        <w:footnoteReference w:id="4"/>
      </w:r>
      <w:r>
        <w:rPr>
          <w:rFonts w:ascii="Bookman Old Style" w:hAnsi="Bookman Old Style" w:cs="Arial"/>
          <w:sz w:val="28"/>
          <w:szCs w:val="28"/>
        </w:rPr>
        <w:t xml:space="preserve"> -en la que se desarrolló el ejercicio del derecho de defensa-</w:t>
      </w:r>
      <w:r w:rsidR="006D0D44" w:rsidRPr="00890B5A">
        <w:rPr>
          <w:rFonts w:ascii="Bookman Old Style" w:hAnsi="Bookman Old Style"/>
          <w:szCs w:val="28"/>
        </w:rPr>
        <w:t>,</w:t>
      </w:r>
      <w:r>
        <w:rPr>
          <w:rFonts w:ascii="Bookman Old Style" w:hAnsi="Bookman Old Style"/>
          <w:szCs w:val="28"/>
        </w:rPr>
        <w:t xml:space="preserve"> </w:t>
      </w:r>
      <w:r>
        <w:rPr>
          <w:rFonts w:ascii="Bookman Old Style" w:hAnsi="Bookman Old Style"/>
          <w:sz w:val="28"/>
          <w:szCs w:val="28"/>
        </w:rPr>
        <w:t>resulta perfectamente posible, una vez realizada la petición de preclusión por la Fiscalía, que la defensa coadyuve la misma, traiga a colación una causal no invocada o controvierta los argumentos de los demás intervinientes</w:t>
      </w:r>
      <w:r w:rsidR="00AF73F9">
        <w:rPr>
          <w:rFonts w:ascii="Bookman Old Style" w:hAnsi="Bookman Old Style"/>
          <w:sz w:val="28"/>
          <w:szCs w:val="28"/>
        </w:rPr>
        <w:t>, para que el juez cuente con mayores elementos de juicio para la decisión que debe adoptar.</w:t>
      </w:r>
    </w:p>
    <w:p w:rsidR="00AF73F9" w:rsidRDefault="00AF73F9" w:rsidP="003E389A">
      <w:pPr>
        <w:spacing w:line="360" w:lineRule="auto"/>
        <w:jc w:val="both"/>
        <w:rPr>
          <w:rFonts w:ascii="Bookman Old Style" w:hAnsi="Bookman Old Style" w:cs="Arial"/>
          <w:sz w:val="28"/>
          <w:szCs w:val="28"/>
        </w:rPr>
      </w:pPr>
    </w:p>
    <w:p w:rsidR="00AF73F9" w:rsidRDefault="00AF73F9" w:rsidP="003E389A">
      <w:pPr>
        <w:spacing w:line="360" w:lineRule="auto"/>
        <w:jc w:val="both"/>
        <w:rPr>
          <w:rFonts w:ascii="Bookman Old Style" w:hAnsi="Bookman Old Style" w:cs="Arial"/>
          <w:sz w:val="28"/>
          <w:szCs w:val="28"/>
        </w:rPr>
      </w:pPr>
      <w:r>
        <w:rPr>
          <w:rFonts w:ascii="Bookman Old Style" w:hAnsi="Bookman Old Style" w:cs="Arial"/>
          <w:sz w:val="28"/>
          <w:szCs w:val="28"/>
        </w:rPr>
        <w:t xml:space="preserve">En consideración a todo lo anteriormente expuesto, se concederá el recurso de apelación interpuesto y sustentado </w:t>
      </w:r>
      <w:r>
        <w:rPr>
          <w:rFonts w:ascii="Bookman Old Style" w:hAnsi="Bookman Old Style" w:cs="Arial"/>
          <w:sz w:val="28"/>
          <w:szCs w:val="28"/>
        </w:rPr>
        <w:lastRenderedPageBreak/>
        <w:t>por l</w:t>
      </w:r>
      <w:r w:rsidR="00B96CF9">
        <w:rPr>
          <w:rFonts w:ascii="Bookman Old Style" w:hAnsi="Bookman Old Style" w:cs="Arial"/>
          <w:sz w:val="28"/>
          <w:szCs w:val="28"/>
        </w:rPr>
        <w:t>a</w:t>
      </w:r>
      <w:r>
        <w:rPr>
          <w:rFonts w:ascii="Bookman Old Style" w:hAnsi="Bookman Old Style" w:cs="Arial"/>
          <w:sz w:val="28"/>
          <w:szCs w:val="28"/>
        </w:rPr>
        <w:t xml:space="preserve"> </w:t>
      </w:r>
      <w:r w:rsidR="00B96CF9">
        <w:rPr>
          <w:rFonts w:ascii="Bookman Old Style" w:hAnsi="Bookman Old Style" w:cs="Arial"/>
          <w:sz w:val="28"/>
          <w:szCs w:val="28"/>
        </w:rPr>
        <w:t>delegada</w:t>
      </w:r>
      <w:r>
        <w:rPr>
          <w:rFonts w:ascii="Bookman Old Style" w:hAnsi="Bookman Old Style" w:cs="Arial"/>
          <w:sz w:val="28"/>
          <w:szCs w:val="28"/>
        </w:rPr>
        <w:t xml:space="preserve"> de la </w:t>
      </w:r>
      <w:r w:rsidR="003219CD">
        <w:rPr>
          <w:rFonts w:ascii="Bookman Old Style" w:hAnsi="Bookman Old Style" w:cs="Arial"/>
          <w:sz w:val="28"/>
          <w:szCs w:val="28"/>
        </w:rPr>
        <w:t>f</w:t>
      </w:r>
      <w:r>
        <w:rPr>
          <w:rFonts w:ascii="Bookman Old Style" w:hAnsi="Bookman Old Style" w:cs="Arial"/>
          <w:sz w:val="28"/>
          <w:szCs w:val="28"/>
        </w:rPr>
        <w:t xml:space="preserve">iscalía, en </w:t>
      </w:r>
      <w:r w:rsidR="00036EEE">
        <w:rPr>
          <w:rFonts w:ascii="Bookman Old Style" w:hAnsi="Bookman Old Style" w:cs="Arial"/>
          <w:sz w:val="28"/>
          <w:szCs w:val="28"/>
        </w:rPr>
        <w:t>punto a</w:t>
      </w:r>
      <w:r>
        <w:rPr>
          <w:rFonts w:ascii="Bookman Old Style" w:hAnsi="Bookman Old Style" w:cs="Arial"/>
          <w:sz w:val="28"/>
          <w:szCs w:val="28"/>
        </w:rPr>
        <w:t xml:space="preserve"> la negativa</w:t>
      </w:r>
      <w:r w:rsidR="003448D2">
        <w:rPr>
          <w:rFonts w:ascii="Bookman Old Style" w:hAnsi="Bookman Old Style" w:cs="Arial"/>
          <w:sz w:val="28"/>
          <w:szCs w:val="28"/>
        </w:rPr>
        <w:t xml:space="preserve"> </w:t>
      </w:r>
      <w:proofErr w:type="gramStart"/>
      <w:r>
        <w:rPr>
          <w:rFonts w:ascii="Bookman Old Style" w:hAnsi="Bookman Old Style" w:cs="Arial"/>
          <w:sz w:val="28"/>
          <w:szCs w:val="28"/>
        </w:rPr>
        <w:t xml:space="preserve">de </w:t>
      </w:r>
      <w:r w:rsidR="00B961FE">
        <w:rPr>
          <w:rFonts w:ascii="Bookman Old Style" w:hAnsi="Bookman Old Style" w:cs="Arial"/>
          <w:sz w:val="28"/>
          <w:szCs w:val="28"/>
        </w:rPr>
        <w:t xml:space="preserve"> </w:t>
      </w:r>
      <w:r>
        <w:rPr>
          <w:rFonts w:ascii="Bookman Old Style" w:hAnsi="Bookman Old Style" w:cs="Arial"/>
          <w:sz w:val="28"/>
          <w:szCs w:val="28"/>
        </w:rPr>
        <w:t>preclusión</w:t>
      </w:r>
      <w:proofErr w:type="gramEnd"/>
      <w:r>
        <w:rPr>
          <w:rFonts w:ascii="Bookman Old Style" w:hAnsi="Bookman Old Style" w:cs="Arial"/>
          <w:sz w:val="28"/>
          <w:szCs w:val="28"/>
        </w:rPr>
        <w:t xml:space="preserve"> invocada; pero </w:t>
      </w:r>
      <w:r w:rsidR="00B961FE">
        <w:rPr>
          <w:rFonts w:ascii="Bookman Old Style" w:hAnsi="Bookman Old Style" w:cs="Arial"/>
          <w:sz w:val="28"/>
          <w:szCs w:val="28"/>
        </w:rPr>
        <w:t xml:space="preserve"> </w:t>
      </w:r>
      <w:r>
        <w:rPr>
          <w:rFonts w:ascii="Bookman Old Style" w:hAnsi="Bookman Old Style" w:cs="Arial"/>
          <w:sz w:val="28"/>
          <w:szCs w:val="28"/>
        </w:rPr>
        <w:t>se deniega el mismo</w:t>
      </w:r>
      <w:r w:rsidR="00036EEE">
        <w:rPr>
          <w:rFonts w:ascii="Bookman Old Style" w:hAnsi="Bookman Old Style" w:cs="Arial"/>
          <w:sz w:val="28"/>
          <w:szCs w:val="28"/>
        </w:rPr>
        <w:t xml:space="preserve"> en relación con la intervención de la defensa</w:t>
      </w:r>
      <w:r w:rsidR="00822968">
        <w:rPr>
          <w:rFonts w:ascii="Bookman Old Style" w:hAnsi="Bookman Old Style" w:cs="Arial"/>
          <w:sz w:val="28"/>
          <w:szCs w:val="28"/>
        </w:rPr>
        <w:t xml:space="preserve"> en ese sentido</w:t>
      </w:r>
      <w:r w:rsidR="00036EEE">
        <w:rPr>
          <w:rFonts w:ascii="Bookman Old Style" w:hAnsi="Bookman Old Style" w:cs="Arial"/>
          <w:sz w:val="28"/>
          <w:szCs w:val="28"/>
        </w:rPr>
        <w:t>, por lo que sus manifestaciones deben entenderse como coadyuvan</w:t>
      </w:r>
      <w:r w:rsidR="003448D2">
        <w:rPr>
          <w:rFonts w:ascii="Bookman Old Style" w:hAnsi="Bookman Old Style" w:cs="Arial"/>
          <w:sz w:val="28"/>
          <w:szCs w:val="28"/>
        </w:rPr>
        <w:t>cia</w:t>
      </w:r>
      <w:r w:rsidR="00036EEE">
        <w:rPr>
          <w:rFonts w:ascii="Bookman Old Style" w:hAnsi="Bookman Old Style" w:cs="Arial"/>
          <w:sz w:val="28"/>
          <w:szCs w:val="28"/>
        </w:rPr>
        <w:t xml:space="preserve"> </w:t>
      </w:r>
      <w:r w:rsidR="00822968">
        <w:rPr>
          <w:rFonts w:ascii="Bookman Old Style" w:hAnsi="Bookman Old Style" w:cs="Arial"/>
          <w:sz w:val="28"/>
          <w:szCs w:val="28"/>
        </w:rPr>
        <w:t>de las pretensiones de la representante del ente acusador.</w:t>
      </w:r>
    </w:p>
    <w:p w:rsidR="00822968" w:rsidRDefault="00822968" w:rsidP="003E389A">
      <w:pPr>
        <w:spacing w:line="360" w:lineRule="auto"/>
        <w:jc w:val="both"/>
        <w:rPr>
          <w:rFonts w:ascii="Bookman Old Style" w:hAnsi="Bookman Old Style" w:cs="Arial"/>
          <w:sz w:val="28"/>
          <w:szCs w:val="28"/>
        </w:rPr>
      </w:pPr>
    </w:p>
    <w:p w:rsidR="00822968" w:rsidRDefault="00822968" w:rsidP="003E389A">
      <w:pPr>
        <w:spacing w:line="360" w:lineRule="auto"/>
        <w:jc w:val="both"/>
        <w:rPr>
          <w:rFonts w:ascii="Bookman Old Style" w:hAnsi="Bookman Old Style" w:cs="Arial"/>
          <w:sz w:val="28"/>
          <w:szCs w:val="28"/>
        </w:rPr>
      </w:pPr>
      <w:r>
        <w:rPr>
          <w:rFonts w:ascii="Bookman Old Style" w:hAnsi="Bookman Old Style" w:cs="Arial"/>
          <w:sz w:val="28"/>
          <w:szCs w:val="28"/>
        </w:rPr>
        <w:t>Por lo expuesto, la Sala Especial de Primera Instancia de la Corte Suprema de Justicia,</w:t>
      </w:r>
    </w:p>
    <w:p w:rsidR="00822968" w:rsidRDefault="00822968" w:rsidP="003E389A">
      <w:pPr>
        <w:spacing w:line="360" w:lineRule="auto"/>
        <w:jc w:val="both"/>
        <w:rPr>
          <w:rFonts w:ascii="Bookman Old Style" w:hAnsi="Bookman Old Style" w:cs="Arial"/>
          <w:sz w:val="28"/>
          <w:szCs w:val="28"/>
        </w:rPr>
      </w:pPr>
    </w:p>
    <w:p w:rsidR="00822968" w:rsidRDefault="00822968" w:rsidP="00822968">
      <w:pPr>
        <w:spacing w:line="360" w:lineRule="auto"/>
        <w:jc w:val="center"/>
        <w:rPr>
          <w:rFonts w:ascii="Bookman Old Style" w:hAnsi="Bookman Old Style" w:cs="Arial"/>
          <w:sz w:val="28"/>
          <w:szCs w:val="28"/>
        </w:rPr>
      </w:pPr>
      <w:r w:rsidRPr="00822968">
        <w:rPr>
          <w:rFonts w:ascii="Bookman Old Style" w:hAnsi="Bookman Old Style" w:cs="Arial"/>
          <w:b/>
          <w:sz w:val="28"/>
          <w:szCs w:val="28"/>
        </w:rPr>
        <w:t xml:space="preserve">R E S U E L V </w:t>
      </w:r>
      <w:proofErr w:type="gramStart"/>
      <w:r w:rsidRPr="00822968">
        <w:rPr>
          <w:rFonts w:ascii="Bookman Old Style" w:hAnsi="Bookman Old Style" w:cs="Arial"/>
          <w:b/>
          <w:sz w:val="28"/>
          <w:szCs w:val="28"/>
        </w:rPr>
        <w:t>E</w:t>
      </w:r>
      <w:r>
        <w:rPr>
          <w:rFonts w:ascii="Bookman Old Style" w:hAnsi="Bookman Old Style" w:cs="Arial"/>
          <w:sz w:val="28"/>
          <w:szCs w:val="28"/>
        </w:rPr>
        <w:t xml:space="preserve"> :</w:t>
      </w:r>
      <w:proofErr w:type="gramEnd"/>
    </w:p>
    <w:p w:rsidR="00822968" w:rsidRDefault="00822968" w:rsidP="00822968">
      <w:pPr>
        <w:spacing w:line="360" w:lineRule="auto"/>
        <w:jc w:val="center"/>
        <w:rPr>
          <w:rFonts w:ascii="Bookman Old Style" w:hAnsi="Bookman Old Style" w:cs="Arial"/>
          <w:sz w:val="28"/>
          <w:szCs w:val="28"/>
        </w:rPr>
      </w:pPr>
    </w:p>
    <w:p w:rsidR="00822968" w:rsidRDefault="00822968" w:rsidP="00822968">
      <w:pPr>
        <w:spacing w:line="360" w:lineRule="auto"/>
        <w:jc w:val="both"/>
        <w:rPr>
          <w:rFonts w:ascii="Bookman Old Style" w:hAnsi="Bookman Old Style" w:cs="Arial"/>
          <w:sz w:val="28"/>
          <w:szCs w:val="28"/>
        </w:rPr>
      </w:pPr>
      <w:r w:rsidRPr="00395028">
        <w:rPr>
          <w:rFonts w:ascii="Bookman Old Style" w:hAnsi="Bookman Old Style" w:cs="Arial"/>
          <w:b/>
          <w:sz w:val="28"/>
          <w:szCs w:val="28"/>
        </w:rPr>
        <w:t>Primero</w:t>
      </w:r>
      <w:r w:rsidR="00395028">
        <w:rPr>
          <w:rFonts w:ascii="Bookman Old Style" w:hAnsi="Bookman Old Style" w:cs="Arial"/>
          <w:sz w:val="28"/>
          <w:szCs w:val="28"/>
        </w:rPr>
        <w:t>: Conceder el recurso de apelación interpuesto por la fiscalía, en relación con la negativa a la preclusión invocada.</w:t>
      </w:r>
    </w:p>
    <w:p w:rsidR="00395028" w:rsidRDefault="00395028" w:rsidP="00822968">
      <w:pPr>
        <w:spacing w:line="360" w:lineRule="auto"/>
        <w:jc w:val="both"/>
        <w:rPr>
          <w:rFonts w:ascii="Bookman Old Style" w:hAnsi="Bookman Old Style" w:cs="Arial"/>
          <w:sz w:val="28"/>
          <w:szCs w:val="28"/>
        </w:rPr>
      </w:pPr>
    </w:p>
    <w:p w:rsidR="00395028" w:rsidRDefault="00395028" w:rsidP="00822968">
      <w:pPr>
        <w:spacing w:line="360" w:lineRule="auto"/>
        <w:jc w:val="both"/>
        <w:rPr>
          <w:rFonts w:ascii="Bookman Old Style" w:hAnsi="Bookman Old Style" w:cs="Arial"/>
          <w:sz w:val="28"/>
          <w:szCs w:val="28"/>
        </w:rPr>
      </w:pPr>
      <w:r w:rsidRPr="00395028">
        <w:rPr>
          <w:rFonts w:ascii="Bookman Old Style" w:hAnsi="Bookman Old Style" w:cs="Arial"/>
          <w:b/>
          <w:sz w:val="28"/>
          <w:szCs w:val="28"/>
        </w:rPr>
        <w:t>Segundo</w:t>
      </w:r>
      <w:r>
        <w:rPr>
          <w:rFonts w:ascii="Bookman Old Style" w:hAnsi="Bookman Old Style" w:cs="Arial"/>
          <w:sz w:val="28"/>
          <w:szCs w:val="28"/>
        </w:rPr>
        <w:t xml:space="preserve">: </w:t>
      </w:r>
      <w:r w:rsidR="00EB1E20">
        <w:rPr>
          <w:rFonts w:ascii="Bookman Old Style" w:hAnsi="Bookman Old Style" w:cs="Arial"/>
          <w:sz w:val="28"/>
          <w:szCs w:val="28"/>
        </w:rPr>
        <w:t>Negar el recurso de apelación interpuesto por la defensa.</w:t>
      </w:r>
    </w:p>
    <w:p w:rsidR="00EB1E20" w:rsidRDefault="00EB1E20" w:rsidP="00822968">
      <w:pPr>
        <w:spacing w:line="360" w:lineRule="auto"/>
        <w:jc w:val="both"/>
        <w:rPr>
          <w:rFonts w:ascii="Bookman Old Style" w:hAnsi="Bookman Old Style" w:cs="Arial"/>
          <w:sz w:val="28"/>
          <w:szCs w:val="28"/>
        </w:rPr>
      </w:pPr>
    </w:p>
    <w:p w:rsidR="00EB1E20" w:rsidRDefault="00EB1E20" w:rsidP="00822968">
      <w:pPr>
        <w:spacing w:line="360" w:lineRule="auto"/>
        <w:jc w:val="both"/>
        <w:rPr>
          <w:rFonts w:ascii="Bookman Old Style" w:hAnsi="Bookman Old Style" w:cs="Arial"/>
          <w:sz w:val="28"/>
          <w:szCs w:val="28"/>
        </w:rPr>
      </w:pPr>
      <w:r>
        <w:rPr>
          <w:rFonts w:ascii="Bookman Old Style" w:hAnsi="Bookman Old Style" w:cs="Arial"/>
          <w:sz w:val="28"/>
          <w:szCs w:val="28"/>
        </w:rPr>
        <w:tab/>
      </w:r>
      <w:r>
        <w:rPr>
          <w:rFonts w:ascii="Bookman Old Style" w:hAnsi="Bookman Old Style" w:cs="Arial"/>
          <w:sz w:val="28"/>
          <w:szCs w:val="28"/>
        </w:rPr>
        <w:tab/>
      </w:r>
      <w:r>
        <w:rPr>
          <w:rFonts w:ascii="Bookman Old Style" w:hAnsi="Bookman Old Style" w:cs="Arial"/>
          <w:sz w:val="28"/>
          <w:szCs w:val="28"/>
        </w:rPr>
        <w:tab/>
      </w:r>
      <w:r>
        <w:rPr>
          <w:rFonts w:ascii="Bookman Old Style" w:hAnsi="Bookman Old Style" w:cs="Arial"/>
          <w:sz w:val="28"/>
          <w:szCs w:val="28"/>
        </w:rPr>
        <w:tab/>
        <w:t>Notifíquese y Cúmplase:</w:t>
      </w:r>
    </w:p>
    <w:p w:rsidR="00EB1E20" w:rsidRDefault="00EB1E20" w:rsidP="00822968">
      <w:pPr>
        <w:spacing w:line="360" w:lineRule="auto"/>
        <w:jc w:val="both"/>
        <w:rPr>
          <w:rFonts w:ascii="Bookman Old Style" w:hAnsi="Bookman Old Style" w:cs="Arial"/>
          <w:sz w:val="28"/>
          <w:szCs w:val="28"/>
        </w:rPr>
      </w:pPr>
    </w:p>
    <w:p w:rsidR="00EB1E20" w:rsidRDefault="00EB1E20" w:rsidP="00822968">
      <w:pPr>
        <w:spacing w:line="360" w:lineRule="auto"/>
        <w:jc w:val="both"/>
        <w:rPr>
          <w:rFonts w:ascii="Bookman Old Style" w:hAnsi="Bookman Old Style" w:cs="Arial"/>
          <w:sz w:val="28"/>
          <w:szCs w:val="28"/>
        </w:rPr>
      </w:pPr>
    </w:p>
    <w:p w:rsidR="00EB1E20" w:rsidRDefault="00EB1E20" w:rsidP="00822968">
      <w:pPr>
        <w:spacing w:line="360" w:lineRule="auto"/>
        <w:jc w:val="both"/>
        <w:rPr>
          <w:rFonts w:ascii="Bookman Old Style" w:hAnsi="Bookman Old Style" w:cs="Arial"/>
          <w:sz w:val="28"/>
          <w:szCs w:val="28"/>
        </w:rPr>
      </w:pPr>
      <w:r>
        <w:rPr>
          <w:rFonts w:ascii="Bookman Old Style" w:hAnsi="Bookman Old Style" w:cs="Arial"/>
          <w:sz w:val="28"/>
          <w:szCs w:val="28"/>
        </w:rPr>
        <w:tab/>
      </w:r>
      <w:r>
        <w:rPr>
          <w:rFonts w:ascii="Bookman Old Style" w:hAnsi="Bookman Old Style" w:cs="Arial"/>
          <w:sz w:val="28"/>
          <w:szCs w:val="28"/>
        </w:rPr>
        <w:tab/>
      </w:r>
      <w:r>
        <w:rPr>
          <w:rFonts w:ascii="Bookman Old Style" w:hAnsi="Bookman Old Style" w:cs="Arial"/>
          <w:sz w:val="28"/>
          <w:szCs w:val="28"/>
        </w:rPr>
        <w:tab/>
      </w:r>
      <w:r>
        <w:rPr>
          <w:rFonts w:ascii="Bookman Old Style" w:hAnsi="Bookman Old Style" w:cs="Arial"/>
          <w:sz w:val="28"/>
          <w:szCs w:val="28"/>
        </w:rPr>
        <w:tab/>
        <w:t>JORGE EMILIO CALDAS VERA</w:t>
      </w:r>
    </w:p>
    <w:p w:rsidR="00EB1E20" w:rsidRDefault="00EB1E20" w:rsidP="00822968">
      <w:pPr>
        <w:spacing w:line="360" w:lineRule="auto"/>
        <w:jc w:val="both"/>
        <w:rPr>
          <w:rFonts w:ascii="Bookman Old Style" w:hAnsi="Bookman Old Style" w:cs="Arial"/>
          <w:sz w:val="28"/>
          <w:szCs w:val="28"/>
        </w:rPr>
      </w:pPr>
      <w:r>
        <w:rPr>
          <w:rFonts w:ascii="Bookman Old Style" w:hAnsi="Bookman Old Style" w:cs="Arial"/>
          <w:sz w:val="28"/>
          <w:szCs w:val="28"/>
        </w:rPr>
        <w:tab/>
      </w:r>
      <w:r>
        <w:rPr>
          <w:rFonts w:ascii="Bookman Old Style" w:hAnsi="Bookman Old Style" w:cs="Arial"/>
          <w:sz w:val="28"/>
          <w:szCs w:val="28"/>
        </w:rPr>
        <w:tab/>
      </w:r>
      <w:r>
        <w:rPr>
          <w:rFonts w:ascii="Bookman Old Style" w:hAnsi="Bookman Old Style" w:cs="Arial"/>
          <w:sz w:val="28"/>
          <w:szCs w:val="28"/>
        </w:rPr>
        <w:tab/>
      </w:r>
      <w:r>
        <w:rPr>
          <w:rFonts w:ascii="Bookman Old Style" w:hAnsi="Bookman Old Style" w:cs="Arial"/>
          <w:sz w:val="28"/>
          <w:szCs w:val="28"/>
        </w:rPr>
        <w:tab/>
        <w:t>Magistrado</w:t>
      </w:r>
    </w:p>
    <w:p w:rsidR="009F6B34" w:rsidRDefault="009F6B34" w:rsidP="00822968">
      <w:pPr>
        <w:spacing w:line="360" w:lineRule="auto"/>
        <w:jc w:val="both"/>
        <w:rPr>
          <w:rFonts w:ascii="Bookman Old Style" w:hAnsi="Bookman Old Style" w:cs="Arial"/>
          <w:sz w:val="28"/>
          <w:szCs w:val="28"/>
        </w:rPr>
      </w:pPr>
    </w:p>
    <w:p w:rsidR="00EB1E20" w:rsidRDefault="00EB1E20" w:rsidP="00822968">
      <w:pPr>
        <w:spacing w:line="360" w:lineRule="auto"/>
        <w:jc w:val="both"/>
        <w:rPr>
          <w:rFonts w:ascii="Bookman Old Style" w:hAnsi="Bookman Old Style" w:cs="Arial"/>
          <w:sz w:val="28"/>
          <w:szCs w:val="28"/>
        </w:rPr>
      </w:pPr>
    </w:p>
    <w:p w:rsidR="00EB1E20" w:rsidRDefault="00EB1E20" w:rsidP="00822968">
      <w:pPr>
        <w:spacing w:line="360" w:lineRule="auto"/>
        <w:jc w:val="both"/>
        <w:rPr>
          <w:rFonts w:ascii="Bookman Old Style" w:hAnsi="Bookman Old Style" w:cs="Arial"/>
          <w:sz w:val="28"/>
          <w:szCs w:val="28"/>
        </w:rPr>
      </w:pPr>
    </w:p>
    <w:p w:rsidR="009F6B34" w:rsidRDefault="00EB1E20" w:rsidP="00822968">
      <w:pPr>
        <w:spacing w:line="360" w:lineRule="auto"/>
        <w:jc w:val="both"/>
        <w:rPr>
          <w:rFonts w:ascii="Bookman Old Style" w:hAnsi="Bookman Old Style" w:cs="Arial"/>
          <w:sz w:val="28"/>
          <w:szCs w:val="28"/>
        </w:rPr>
      </w:pPr>
      <w:r>
        <w:rPr>
          <w:rFonts w:ascii="Bookman Old Style" w:hAnsi="Bookman Old Style" w:cs="Arial"/>
          <w:sz w:val="28"/>
          <w:szCs w:val="28"/>
        </w:rPr>
        <w:lastRenderedPageBreak/>
        <w:tab/>
      </w:r>
      <w:r>
        <w:rPr>
          <w:rFonts w:ascii="Bookman Old Style" w:hAnsi="Bookman Old Style" w:cs="Arial"/>
          <w:sz w:val="28"/>
          <w:szCs w:val="28"/>
        </w:rPr>
        <w:tab/>
      </w:r>
      <w:r>
        <w:rPr>
          <w:rFonts w:ascii="Bookman Old Style" w:hAnsi="Bookman Old Style" w:cs="Arial"/>
          <w:sz w:val="28"/>
          <w:szCs w:val="28"/>
        </w:rPr>
        <w:tab/>
      </w:r>
      <w:r>
        <w:rPr>
          <w:rFonts w:ascii="Bookman Old Style" w:hAnsi="Bookman Old Style" w:cs="Arial"/>
          <w:sz w:val="28"/>
          <w:szCs w:val="28"/>
        </w:rPr>
        <w:tab/>
      </w:r>
    </w:p>
    <w:p w:rsidR="009F6B34" w:rsidRDefault="009F6B34" w:rsidP="00822968">
      <w:pPr>
        <w:spacing w:line="360" w:lineRule="auto"/>
        <w:jc w:val="both"/>
        <w:rPr>
          <w:rFonts w:ascii="Bookman Old Style" w:hAnsi="Bookman Old Style" w:cs="Arial"/>
          <w:sz w:val="28"/>
          <w:szCs w:val="28"/>
        </w:rPr>
      </w:pPr>
    </w:p>
    <w:p w:rsidR="00EB1E20" w:rsidRDefault="00EB1E20" w:rsidP="009F6B34">
      <w:pPr>
        <w:spacing w:line="360" w:lineRule="auto"/>
        <w:ind w:left="2124" w:firstLine="708"/>
        <w:jc w:val="both"/>
        <w:rPr>
          <w:rFonts w:ascii="Bookman Old Style" w:hAnsi="Bookman Old Style" w:cs="Arial"/>
          <w:sz w:val="28"/>
          <w:szCs w:val="28"/>
        </w:rPr>
      </w:pPr>
      <w:r>
        <w:rPr>
          <w:rFonts w:ascii="Bookman Old Style" w:hAnsi="Bookman Old Style" w:cs="Arial"/>
          <w:sz w:val="28"/>
          <w:szCs w:val="28"/>
        </w:rPr>
        <w:t>RAMIRO ALONSO MARÍN VÁSQUEZ</w:t>
      </w:r>
    </w:p>
    <w:p w:rsidR="00EB1E20" w:rsidRDefault="00EB1E20" w:rsidP="00822968">
      <w:pPr>
        <w:spacing w:line="360" w:lineRule="auto"/>
        <w:jc w:val="both"/>
        <w:rPr>
          <w:rFonts w:ascii="Bookman Old Style" w:hAnsi="Bookman Old Style" w:cs="Arial"/>
          <w:sz w:val="28"/>
          <w:szCs w:val="28"/>
        </w:rPr>
      </w:pPr>
      <w:r>
        <w:rPr>
          <w:rFonts w:ascii="Bookman Old Style" w:hAnsi="Bookman Old Style" w:cs="Arial"/>
          <w:sz w:val="28"/>
          <w:szCs w:val="28"/>
        </w:rPr>
        <w:tab/>
      </w:r>
      <w:r>
        <w:rPr>
          <w:rFonts w:ascii="Bookman Old Style" w:hAnsi="Bookman Old Style" w:cs="Arial"/>
          <w:sz w:val="28"/>
          <w:szCs w:val="28"/>
        </w:rPr>
        <w:tab/>
      </w:r>
      <w:r>
        <w:rPr>
          <w:rFonts w:ascii="Bookman Old Style" w:hAnsi="Bookman Old Style" w:cs="Arial"/>
          <w:sz w:val="28"/>
          <w:szCs w:val="28"/>
        </w:rPr>
        <w:tab/>
      </w:r>
      <w:r>
        <w:rPr>
          <w:rFonts w:ascii="Bookman Old Style" w:hAnsi="Bookman Old Style" w:cs="Arial"/>
          <w:sz w:val="28"/>
          <w:szCs w:val="28"/>
        </w:rPr>
        <w:tab/>
        <w:t>Magistrado</w:t>
      </w:r>
    </w:p>
    <w:p w:rsidR="00EB1E20" w:rsidRDefault="00EB1E20" w:rsidP="00822968">
      <w:pPr>
        <w:spacing w:line="360" w:lineRule="auto"/>
        <w:jc w:val="both"/>
        <w:rPr>
          <w:rFonts w:ascii="Bookman Old Style" w:hAnsi="Bookman Old Style" w:cs="Arial"/>
          <w:sz w:val="28"/>
          <w:szCs w:val="28"/>
        </w:rPr>
      </w:pPr>
    </w:p>
    <w:p w:rsidR="00EB1E20" w:rsidRDefault="00EB1E20" w:rsidP="00822968">
      <w:pPr>
        <w:spacing w:line="360" w:lineRule="auto"/>
        <w:jc w:val="both"/>
        <w:rPr>
          <w:rFonts w:ascii="Bookman Old Style" w:hAnsi="Bookman Old Style" w:cs="Arial"/>
          <w:sz w:val="28"/>
          <w:szCs w:val="28"/>
        </w:rPr>
      </w:pPr>
    </w:p>
    <w:p w:rsidR="00EB1E20" w:rsidRDefault="00EB1E20" w:rsidP="00822968">
      <w:pPr>
        <w:spacing w:line="360" w:lineRule="auto"/>
        <w:jc w:val="both"/>
        <w:rPr>
          <w:rFonts w:ascii="Bookman Old Style" w:hAnsi="Bookman Old Style" w:cs="Arial"/>
          <w:sz w:val="28"/>
          <w:szCs w:val="28"/>
        </w:rPr>
      </w:pPr>
      <w:r>
        <w:rPr>
          <w:rFonts w:ascii="Bookman Old Style" w:hAnsi="Bookman Old Style" w:cs="Arial"/>
          <w:sz w:val="28"/>
          <w:szCs w:val="28"/>
        </w:rPr>
        <w:tab/>
      </w:r>
      <w:r>
        <w:rPr>
          <w:rFonts w:ascii="Bookman Old Style" w:hAnsi="Bookman Old Style" w:cs="Arial"/>
          <w:sz w:val="28"/>
          <w:szCs w:val="28"/>
        </w:rPr>
        <w:tab/>
      </w:r>
      <w:r>
        <w:rPr>
          <w:rFonts w:ascii="Bookman Old Style" w:hAnsi="Bookman Old Style" w:cs="Arial"/>
          <w:sz w:val="28"/>
          <w:szCs w:val="28"/>
        </w:rPr>
        <w:tab/>
      </w:r>
      <w:r>
        <w:rPr>
          <w:rFonts w:ascii="Bookman Old Style" w:hAnsi="Bookman Old Style" w:cs="Arial"/>
          <w:sz w:val="28"/>
          <w:szCs w:val="28"/>
        </w:rPr>
        <w:tab/>
        <w:t>ARIEL AUGUSTO TORRES ROJAS</w:t>
      </w:r>
    </w:p>
    <w:p w:rsidR="00EB1E20" w:rsidRDefault="00EB1E20" w:rsidP="00822968">
      <w:pPr>
        <w:spacing w:line="360" w:lineRule="auto"/>
        <w:jc w:val="both"/>
        <w:rPr>
          <w:rFonts w:ascii="Bookman Old Style" w:hAnsi="Bookman Old Style" w:cs="Arial"/>
          <w:sz w:val="28"/>
          <w:szCs w:val="28"/>
        </w:rPr>
      </w:pPr>
      <w:r>
        <w:rPr>
          <w:rFonts w:ascii="Bookman Old Style" w:hAnsi="Bookman Old Style" w:cs="Arial"/>
          <w:sz w:val="28"/>
          <w:szCs w:val="28"/>
        </w:rPr>
        <w:tab/>
      </w:r>
      <w:r>
        <w:rPr>
          <w:rFonts w:ascii="Bookman Old Style" w:hAnsi="Bookman Old Style" w:cs="Arial"/>
          <w:sz w:val="28"/>
          <w:szCs w:val="28"/>
        </w:rPr>
        <w:tab/>
      </w:r>
      <w:r>
        <w:rPr>
          <w:rFonts w:ascii="Bookman Old Style" w:hAnsi="Bookman Old Style" w:cs="Arial"/>
          <w:sz w:val="28"/>
          <w:szCs w:val="28"/>
        </w:rPr>
        <w:tab/>
      </w:r>
      <w:r>
        <w:rPr>
          <w:rFonts w:ascii="Bookman Old Style" w:hAnsi="Bookman Old Style" w:cs="Arial"/>
          <w:sz w:val="28"/>
          <w:szCs w:val="28"/>
        </w:rPr>
        <w:tab/>
        <w:t>Magistrado</w:t>
      </w:r>
    </w:p>
    <w:p w:rsidR="00EB1E20" w:rsidRDefault="00EB1E20" w:rsidP="00822968">
      <w:pPr>
        <w:spacing w:line="360" w:lineRule="auto"/>
        <w:jc w:val="both"/>
        <w:rPr>
          <w:rFonts w:ascii="Bookman Old Style" w:hAnsi="Bookman Old Style" w:cs="Arial"/>
          <w:sz w:val="28"/>
          <w:szCs w:val="28"/>
        </w:rPr>
      </w:pPr>
    </w:p>
    <w:p w:rsidR="00EB1E20" w:rsidRDefault="00EB1E20" w:rsidP="00822968">
      <w:pPr>
        <w:spacing w:line="360" w:lineRule="auto"/>
        <w:jc w:val="both"/>
        <w:rPr>
          <w:rFonts w:ascii="Bookman Old Style" w:hAnsi="Bookman Old Style" w:cs="Arial"/>
          <w:sz w:val="28"/>
          <w:szCs w:val="28"/>
        </w:rPr>
      </w:pPr>
    </w:p>
    <w:p w:rsidR="00CE0C7C" w:rsidRDefault="00CE0C7C" w:rsidP="00822968">
      <w:pPr>
        <w:spacing w:line="360" w:lineRule="auto"/>
        <w:jc w:val="both"/>
        <w:rPr>
          <w:rFonts w:ascii="Bookman Old Style" w:hAnsi="Bookman Old Style" w:cs="Arial"/>
          <w:sz w:val="28"/>
          <w:szCs w:val="28"/>
        </w:rPr>
      </w:pPr>
    </w:p>
    <w:p w:rsidR="00EB1E20" w:rsidRDefault="00EB1E20" w:rsidP="00822968">
      <w:pPr>
        <w:spacing w:line="360" w:lineRule="auto"/>
        <w:jc w:val="both"/>
        <w:rPr>
          <w:rFonts w:ascii="Bookman Old Style" w:hAnsi="Bookman Old Style" w:cs="Arial"/>
          <w:sz w:val="28"/>
          <w:szCs w:val="28"/>
        </w:rPr>
      </w:pPr>
      <w:r>
        <w:rPr>
          <w:rFonts w:ascii="Bookman Old Style" w:hAnsi="Bookman Old Style" w:cs="Arial"/>
          <w:sz w:val="28"/>
          <w:szCs w:val="28"/>
        </w:rPr>
        <w:tab/>
      </w:r>
      <w:r>
        <w:rPr>
          <w:rFonts w:ascii="Bookman Old Style" w:hAnsi="Bookman Old Style" w:cs="Arial"/>
          <w:sz w:val="28"/>
          <w:szCs w:val="28"/>
        </w:rPr>
        <w:tab/>
      </w:r>
      <w:r>
        <w:rPr>
          <w:rFonts w:ascii="Bookman Old Style" w:hAnsi="Bookman Old Style" w:cs="Arial"/>
          <w:sz w:val="28"/>
          <w:szCs w:val="28"/>
        </w:rPr>
        <w:tab/>
      </w:r>
      <w:r>
        <w:rPr>
          <w:rFonts w:ascii="Bookman Old Style" w:hAnsi="Bookman Old Style" w:cs="Arial"/>
          <w:sz w:val="28"/>
          <w:szCs w:val="28"/>
        </w:rPr>
        <w:tab/>
        <w:t>ADRIANA HERNÁNDEZ AGUILAR</w:t>
      </w:r>
    </w:p>
    <w:p w:rsidR="00EB1E20" w:rsidRPr="002F6E0F" w:rsidRDefault="00EB1E20" w:rsidP="00822968">
      <w:pPr>
        <w:spacing w:line="360" w:lineRule="auto"/>
        <w:jc w:val="both"/>
        <w:rPr>
          <w:rFonts w:ascii="Bookman Old Style" w:hAnsi="Bookman Old Style" w:cs="Arial"/>
          <w:sz w:val="28"/>
          <w:szCs w:val="28"/>
        </w:rPr>
      </w:pPr>
      <w:r>
        <w:rPr>
          <w:rFonts w:ascii="Bookman Old Style" w:hAnsi="Bookman Old Style" w:cs="Arial"/>
          <w:sz w:val="28"/>
          <w:szCs w:val="28"/>
        </w:rPr>
        <w:tab/>
      </w:r>
      <w:r>
        <w:rPr>
          <w:rFonts w:ascii="Bookman Old Style" w:hAnsi="Bookman Old Style" w:cs="Arial"/>
          <w:sz w:val="28"/>
          <w:szCs w:val="28"/>
        </w:rPr>
        <w:tab/>
      </w:r>
      <w:r>
        <w:rPr>
          <w:rFonts w:ascii="Bookman Old Style" w:hAnsi="Bookman Old Style" w:cs="Arial"/>
          <w:sz w:val="28"/>
          <w:szCs w:val="28"/>
        </w:rPr>
        <w:tab/>
      </w:r>
      <w:r>
        <w:rPr>
          <w:rFonts w:ascii="Bookman Old Style" w:hAnsi="Bookman Old Style" w:cs="Arial"/>
          <w:sz w:val="28"/>
          <w:szCs w:val="28"/>
        </w:rPr>
        <w:tab/>
        <w:t>Secretaria</w:t>
      </w:r>
    </w:p>
    <w:p w:rsidR="0061478A" w:rsidRDefault="0061478A" w:rsidP="003E389A">
      <w:pPr>
        <w:spacing w:line="360" w:lineRule="auto"/>
        <w:jc w:val="both"/>
        <w:rPr>
          <w:rFonts w:ascii="Bookman Old Style" w:hAnsi="Bookman Old Style"/>
          <w:sz w:val="28"/>
          <w:szCs w:val="28"/>
        </w:rPr>
      </w:pPr>
    </w:p>
    <w:sectPr w:rsidR="0061478A" w:rsidSect="0028580B">
      <w:headerReference w:type="default" r:id="rId8"/>
      <w:footerReference w:type="default" r:id="rId9"/>
      <w:pgSz w:w="12240" w:h="18720" w:code="14"/>
      <w:pgMar w:top="2268" w:right="1701" w:bottom="1418" w:left="2268"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DBA" w:rsidRDefault="003D7DBA" w:rsidP="00326FF4">
      <w:pPr>
        <w:spacing w:after="0" w:line="240" w:lineRule="auto"/>
      </w:pPr>
      <w:r>
        <w:separator/>
      </w:r>
    </w:p>
  </w:endnote>
  <w:endnote w:type="continuationSeparator" w:id="0">
    <w:p w:rsidR="003D7DBA" w:rsidRDefault="003D7DBA" w:rsidP="00326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298793"/>
      <w:docPartObj>
        <w:docPartGallery w:val="Page Numbers (Bottom of Page)"/>
        <w:docPartUnique/>
      </w:docPartObj>
    </w:sdtPr>
    <w:sdtEndPr/>
    <w:sdtContent>
      <w:p w:rsidR="00B961FE" w:rsidRDefault="00B961FE">
        <w:pPr>
          <w:pStyle w:val="Piedepgina"/>
          <w:jc w:val="center"/>
        </w:pPr>
        <w:r>
          <w:fldChar w:fldCharType="begin"/>
        </w:r>
        <w:r>
          <w:instrText>PAGE   \* MERGEFORMAT</w:instrText>
        </w:r>
        <w:r>
          <w:fldChar w:fldCharType="separate"/>
        </w:r>
        <w:r>
          <w:rPr>
            <w:lang w:val="es-ES"/>
          </w:rPr>
          <w:t>2</w:t>
        </w:r>
        <w:r>
          <w:fldChar w:fldCharType="end"/>
        </w:r>
      </w:p>
    </w:sdtContent>
  </w:sdt>
  <w:p w:rsidR="00326FF4" w:rsidRDefault="00326F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DBA" w:rsidRDefault="003D7DBA" w:rsidP="00326FF4">
      <w:pPr>
        <w:spacing w:after="0" w:line="240" w:lineRule="auto"/>
      </w:pPr>
      <w:r>
        <w:separator/>
      </w:r>
    </w:p>
  </w:footnote>
  <w:footnote w:type="continuationSeparator" w:id="0">
    <w:p w:rsidR="003D7DBA" w:rsidRDefault="003D7DBA" w:rsidP="00326FF4">
      <w:pPr>
        <w:spacing w:after="0" w:line="240" w:lineRule="auto"/>
      </w:pPr>
      <w:r>
        <w:continuationSeparator/>
      </w:r>
    </w:p>
  </w:footnote>
  <w:footnote w:id="1">
    <w:p w:rsidR="0051475B" w:rsidRPr="0051475B" w:rsidRDefault="0051475B">
      <w:pPr>
        <w:pStyle w:val="Textonotapie"/>
        <w:rPr>
          <w:lang w:val="es-CO"/>
        </w:rPr>
      </w:pPr>
      <w:r>
        <w:rPr>
          <w:rStyle w:val="Refdenotaalpie"/>
        </w:rPr>
        <w:footnoteRef/>
      </w:r>
      <w:r>
        <w:t xml:space="preserve"> </w:t>
      </w:r>
      <w:r>
        <w:rPr>
          <w:lang w:val="es-CO"/>
        </w:rPr>
        <w:t>Cita que se hace en CSJ, AP2655, Rdo. 49993, de Abril 26/17</w:t>
      </w:r>
    </w:p>
  </w:footnote>
  <w:footnote w:id="2">
    <w:p w:rsidR="00A47E74" w:rsidRPr="002F6E0F" w:rsidRDefault="00A47E74">
      <w:pPr>
        <w:pStyle w:val="Textonotapie"/>
        <w:rPr>
          <w:rFonts w:ascii="Bookman Old Style" w:hAnsi="Bookman Old Style"/>
          <w:lang w:val="es-CO"/>
        </w:rPr>
      </w:pPr>
      <w:r>
        <w:rPr>
          <w:rStyle w:val="Refdenotaalpie"/>
        </w:rPr>
        <w:footnoteRef/>
      </w:r>
      <w:r>
        <w:t xml:space="preserve"> </w:t>
      </w:r>
      <w:r w:rsidRPr="002F6E0F">
        <w:rPr>
          <w:rFonts w:ascii="Bookman Old Style" w:hAnsi="Bookman Old Style"/>
          <w:lang w:val="es-CO"/>
        </w:rPr>
        <w:t>CSJ, AP1880-2018, Rad. 52169, May 9/18</w:t>
      </w:r>
    </w:p>
  </w:footnote>
  <w:footnote w:id="3">
    <w:p w:rsidR="00A47E74" w:rsidRPr="002F6E0F" w:rsidRDefault="00A47E74">
      <w:pPr>
        <w:pStyle w:val="Textonotapie"/>
        <w:rPr>
          <w:rFonts w:ascii="Bookman Old Style" w:hAnsi="Bookman Old Style"/>
          <w:lang w:val="es-CO"/>
        </w:rPr>
      </w:pPr>
      <w:r w:rsidRPr="002F6E0F">
        <w:rPr>
          <w:rStyle w:val="Refdenotaalpie"/>
          <w:rFonts w:ascii="Bookman Old Style" w:hAnsi="Bookman Old Style"/>
        </w:rPr>
        <w:footnoteRef/>
      </w:r>
      <w:r w:rsidRPr="002F6E0F">
        <w:rPr>
          <w:rFonts w:ascii="Bookman Old Style" w:hAnsi="Bookman Old Style"/>
        </w:rPr>
        <w:t xml:space="preserve"> </w:t>
      </w:r>
      <w:r w:rsidRPr="002F6E0F">
        <w:rPr>
          <w:rFonts w:ascii="Bookman Old Style" w:hAnsi="Bookman Old Style"/>
          <w:lang w:val="es-CO"/>
        </w:rPr>
        <w:t>Ídem</w:t>
      </w:r>
    </w:p>
  </w:footnote>
  <w:footnote w:id="4">
    <w:p w:rsidR="006D0D44" w:rsidRPr="000E2277" w:rsidRDefault="006D0D44" w:rsidP="006D0D44">
      <w:pPr>
        <w:pStyle w:val="Textonotapie"/>
        <w:jc w:val="both"/>
        <w:rPr>
          <w:rFonts w:ascii="Bookman Old Style" w:hAnsi="Bookman Old Style"/>
          <w:i/>
        </w:rPr>
      </w:pPr>
      <w:r w:rsidRPr="000E2277">
        <w:rPr>
          <w:rStyle w:val="Refdenotaalpie"/>
          <w:rFonts w:ascii="Bookman Old Style" w:hAnsi="Bookman Old Style"/>
          <w:i/>
        </w:rPr>
        <w:footnoteRef/>
      </w:r>
      <w:r w:rsidRPr="000E2277">
        <w:rPr>
          <w:rFonts w:ascii="Bookman Old Style" w:hAnsi="Bookman Old Style"/>
          <w:i/>
        </w:rPr>
        <w:t xml:space="preserve"> </w:t>
      </w:r>
      <w:r w:rsidRPr="00417C0B">
        <w:rPr>
          <w:rFonts w:ascii="Bookman Old Style" w:hAnsi="Bookman Old Style"/>
        </w:rPr>
        <w:t>Sentencia C-648 del 24 de agosto de 2010, por cuyo medio se declaró inexequible la expresión</w:t>
      </w:r>
      <w:r w:rsidRPr="000E2277">
        <w:rPr>
          <w:rFonts w:ascii="Bookman Old Style" w:hAnsi="Bookman Old Style"/>
          <w:i/>
        </w:rPr>
        <w:t xml:space="preserve"> “en el evento en que quisieren oponerse a la petición del fiscal”, </w:t>
      </w:r>
      <w:r w:rsidRPr="00417C0B">
        <w:rPr>
          <w:rFonts w:ascii="Bookman Old Style" w:hAnsi="Bookman Old Style"/>
        </w:rPr>
        <w:t xml:space="preserve">del artículo 333 de </w:t>
      </w:r>
      <w:smartTag w:uri="urn:schemas-microsoft-com:office:smarttags" w:element="PersonName">
        <w:smartTagPr>
          <w:attr w:name="ProductID" w:val="la Ley"/>
        </w:smartTagPr>
        <w:r w:rsidRPr="00417C0B">
          <w:rPr>
            <w:rFonts w:ascii="Bookman Old Style" w:hAnsi="Bookman Old Style"/>
          </w:rPr>
          <w:t>la Ley</w:t>
        </w:r>
      </w:smartTag>
      <w:r w:rsidRPr="00417C0B">
        <w:rPr>
          <w:rFonts w:ascii="Bookman Old Style" w:hAnsi="Bookman Old Style"/>
        </w:rPr>
        <w:t xml:space="preserve"> 906 de 2004, así: </w:t>
      </w:r>
      <w:r w:rsidRPr="000E2277">
        <w:rPr>
          <w:rFonts w:ascii="Bookman Old Style" w:hAnsi="Bookman Old Style"/>
          <w:i/>
        </w:rPr>
        <w:t xml:space="preserve">“En efecto, la expresión “en el evento en que quisieren oponerse a la petición del fiscal”, del artículo 333 de </w:t>
      </w:r>
      <w:smartTag w:uri="urn:schemas-microsoft-com:office:smarttags" w:element="PersonName">
        <w:smartTagPr>
          <w:attr w:name="ProductID" w:val="la Ley"/>
        </w:smartTagPr>
        <w:r w:rsidRPr="000E2277">
          <w:rPr>
            <w:rFonts w:ascii="Bookman Old Style" w:hAnsi="Bookman Old Style"/>
            <w:i/>
          </w:rPr>
          <w:t>la Ley</w:t>
        </w:r>
      </w:smartTag>
      <w:r w:rsidRPr="000E2277">
        <w:rPr>
          <w:rFonts w:ascii="Bookman Old Style" w:hAnsi="Bookman Old Style"/>
          <w:i/>
        </w:rPr>
        <w:t xml:space="preserve"> 906 de 2004, si bien tiene sentido en relación con las víctimas y el Ministerio Público, constituye una medida de intervención desproporcionada del legislador en el ejercicio del derecho de defensa del procesado, por cuanto no busca la consecución de ningún fin constitucionalmente admisible. Sin lugar a dudas, permitirle a la defensa tan sólo una intervención limitada, excepcional y poco consecuente con su actuación en el curso de una audiencia de petición de preclusión, es una medida que no apunta a (i) racionalizar un proceso penal de corte acusatorio; (ii) tampoco constituye un rasgo definitorio o esencial de aquél, ni (iii) mucho menos atenta contra los derechos y las garantías de las demás partes e intervinientes en el proceso. Por el contrario, facultar al defensor del imputado para que interviniera  no sólo en caso de oponerse a la petición del fiscal, sino además cuando desee desplegar otras actuaciones más acordes con su papel en el proceso penal, tales como (i) coadyuvar a la solicitud de </w:t>
      </w:r>
      <w:smartTag w:uri="urn:schemas-microsoft-com:office:smarttags" w:element="PersonName">
        <w:smartTagPr>
          <w:attr w:name="ProductID" w:val="la Fiscalía"/>
        </w:smartTagPr>
        <w:r w:rsidRPr="000E2277">
          <w:rPr>
            <w:rFonts w:ascii="Bookman Old Style" w:hAnsi="Bookman Old Style"/>
            <w:i/>
          </w:rPr>
          <w:t>la Fiscalía</w:t>
        </w:r>
      </w:smartTag>
      <w:r w:rsidRPr="000E2277">
        <w:rPr>
          <w:rFonts w:ascii="Bookman Old Style" w:hAnsi="Bookman Old Style"/>
          <w:i/>
        </w:rPr>
        <w:t>; (ii) alegar una causal de preclusión distinta de la planteada por la órgano investigador; o (iii) controvertir los argumentos de los demás intervinientes, le permitirá al juez de conocimiento contar con más elementos de juicio al momento de decidir acerca de la procedencia de petición de preclusión”.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FF4" w:rsidRDefault="00326FF4">
    <w:pPr>
      <w:pStyle w:val="Encabezado"/>
    </w:pPr>
    <w:r>
      <w:tab/>
    </w:r>
    <w:r>
      <w:tab/>
      <w:t>Primera Instancia: 49379</w:t>
    </w:r>
  </w:p>
  <w:p w:rsidR="00326FF4" w:rsidRDefault="00326FF4">
    <w:pPr>
      <w:pStyle w:val="Encabezado"/>
    </w:pPr>
    <w:r>
      <w:tab/>
    </w:r>
    <w:r>
      <w:tab/>
      <w:t>Ricardo Gómez Nieto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14"/>
    <w:rsid w:val="000033ED"/>
    <w:rsid w:val="00013F8A"/>
    <w:rsid w:val="000268F7"/>
    <w:rsid w:val="00036EEE"/>
    <w:rsid w:val="000501B2"/>
    <w:rsid w:val="00055C6F"/>
    <w:rsid w:val="000811A1"/>
    <w:rsid w:val="00087703"/>
    <w:rsid w:val="000F1530"/>
    <w:rsid w:val="000F3E91"/>
    <w:rsid w:val="00112ED1"/>
    <w:rsid w:val="0013065E"/>
    <w:rsid w:val="001737FB"/>
    <w:rsid w:val="001C151A"/>
    <w:rsid w:val="001E1F8D"/>
    <w:rsid w:val="00260357"/>
    <w:rsid w:val="00265000"/>
    <w:rsid w:val="002705E2"/>
    <w:rsid w:val="0027654E"/>
    <w:rsid w:val="0028580B"/>
    <w:rsid w:val="002A1FF0"/>
    <w:rsid w:val="002F3133"/>
    <w:rsid w:val="002F6E0F"/>
    <w:rsid w:val="00307A61"/>
    <w:rsid w:val="00307EE4"/>
    <w:rsid w:val="0031367B"/>
    <w:rsid w:val="003219CD"/>
    <w:rsid w:val="00326FF4"/>
    <w:rsid w:val="003448D2"/>
    <w:rsid w:val="0037609A"/>
    <w:rsid w:val="00386E35"/>
    <w:rsid w:val="00395028"/>
    <w:rsid w:val="003B6562"/>
    <w:rsid w:val="003D0D01"/>
    <w:rsid w:val="003D5EAA"/>
    <w:rsid w:val="003D7DBA"/>
    <w:rsid w:val="003E389A"/>
    <w:rsid w:val="003F7CE4"/>
    <w:rsid w:val="004974B4"/>
    <w:rsid w:val="0051475B"/>
    <w:rsid w:val="005D0C1F"/>
    <w:rsid w:val="005E4A57"/>
    <w:rsid w:val="005E5C04"/>
    <w:rsid w:val="005F3E7F"/>
    <w:rsid w:val="006014FC"/>
    <w:rsid w:val="0061478A"/>
    <w:rsid w:val="00617328"/>
    <w:rsid w:val="00697E3A"/>
    <w:rsid w:val="006B0655"/>
    <w:rsid w:val="006D0D44"/>
    <w:rsid w:val="00702668"/>
    <w:rsid w:val="00767D1F"/>
    <w:rsid w:val="00772E35"/>
    <w:rsid w:val="007C3621"/>
    <w:rsid w:val="007E6AAB"/>
    <w:rsid w:val="007F3909"/>
    <w:rsid w:val="00811DF3"/>
    <w:rsid w:val="00822968"/>
    <w:rsid w:val="00856E88"/>
    <w:rsid w:val="00871B52"/>
    <w:rsid w:val="008905D6"/>
    <w:rsid w:val="0089718E"/>
    <w:rsid w:val="008A3DD2"/>
    <w:rsid w:val="008D4ABB"/>
    <w:rsid w:val="008E78B0"/>
    <w:rsid w:val="008F1A65"/>
    <w:rsid w:val="00911C3F"/>
    <w:rsid w:val="00995D05"/>
    <w:rsid w:val="009F6B34"/>
    <w:rsid w:val="00A07DE6"/>
    <w:rsid w:val="00A47E74"/>
    <w:rsid w:val="00A97515"/>
    <w:rsid w:val="00AD1EF9"/>
    <w:rsid w:val="00AF56A9"/>
    <w:rsid w:val="00AF73F9"/>
    <w:rsid w:val="00B36ABB"/>
    <w:rsid w:val="00B54D14"/>
    <w:rsid w:val="00B57562"/>
    <w:rsid w:val="00B954DF"/>
    <w:rsid w:val="00B961FE"/>
    <w:rsid w:val="00B96CF9"/>
    <w:rsid w:val="00BA6ACB"/>
    <w:rsid w:val="00C14092"/>
    <w:rsid w:val="00C277B0"/>
    <w:rsid w:val="00C7547E"/>
    <w:rsid w:val="00CE0C7C"/>
    <w:rsid w:val="00D061F3"/>
    <w:rsid w:val="00D3213E"/>
    <w:rsid w:val="00D50D05"/>
    <w:rsid w:val="00DD62CD"/>
    <w:rsid w:val="00E03D87"/>
    <w:rsid w:val="00E65317"/>
    <w:rsid w:val="00E71664"/>
    <w:rsid w:val="00EB1E20"/>
    <w:rsid w:val="00EC33C7"/>
    <w:rsid w:val="00ED4842"/>
    <w:rsid w:val="00ED6990"/>
    <w:rsid w:val="00ED7EF9"/>
    <w:rsid w:val="00EE4C0B"/>
    <w:rsid w:val="00EF4F7A"/>
    <w:rsid w:val="00F171D4"/>
    <w:rsid w:val="00F259C1"/>
    <w:rsid w:val="00FD7E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5F8E38A"/>
  <w15:chartTrackingRefBased/>
  <w15:docId w15:val="{2448906C-2BAB-4098-A414-5E275106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D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6F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6FF4"/>
  </w:style>
  <w:style w:type="paragraph" w:styleId="Piedepgina">
    <w:name w:val="footer"/>
    <w:basedOn w:val="Normal"/>
    <w:link w:val="PiedepginaCar"/>
    <w:uiPriority w:val="99"/>
    <w:unhideWhenUsed/>
    <w:rsid w:val="00326F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6FF4"/>
  </w:style>
  <w:style w:type="paragraph" w:styleId="NormalWeb">
    <w:name w:val="Normal (Web)"/>
    <w:basedOn w:val="Normal"/>
    <w:uiPriority w:val="99"/>
    <w:unhideWhenUsed/>
    <w:rsid w:val="000811A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notaalpie">
    <w:name w:val="footnote reference"/>
    <w:semiHidden/>
    <w:rsid w:val="006D0D44"/>
    <w:rPr>
      <w:vertAlign w:val="superscript"/>
    </w:rPr>
  </w:style>
  <w:style w:type="paragraph" w:styleId="Textonotapie">
    <w:name w:val="footnote text"/>
    <w:aliases w:val="Footnote Text Char Char Char Char Char,Footnote Text Char Char Char Char,Footnote reference,FA Fu,Texto nota pie Car Car Car,Texto nota pie Car Car Car Car Car Car Car Car Car Car Car"/>
    <w:basedOn w:val="Normal"/>
    <w:link w:val="TextonotapieCar1"/>
    <w:semiHidden/>
    <w:rsid w:val="006D0D44"/>
    <w:pPr>
      <w:spacing w:after="0" w:line="240" w:lineRule="auto"/>
    </w:pPr>
    <w:rPr>
      <w:rFonts w:ascii="Arial" w:eastAsia="Times New Roman" w:hAnsi="Arial" w:cs="Times New Roman"/>
      <w:sz w:val="20"/>
      <w:szCs w:val="20"/>
      <w:lang w:val="es-ES" w:eastAsia="es-ES"/>
    </w:rPr>
  </w:style>
  <w:style w:type="character" w:customStyle="1" w:styleId="TextonotapieCar">
    <w:name w:val="Texto nota pie Car"/>
    <w:basedOn w:val="Fuentedeprrafopredeter"/>
    <w:uiPriority w:val="99"/>
    <w:semiHidden/>
    <w:rsid w:val="006D0D44"/>
    <w:rPr>
      <w:sz w:val="20"/>
      <w:szCs w:val="20"/>
    </w:rPr>
  </w:style>
  <w:style w:type="character" w:customStyle="1" w:styleId="TextonotapieCar1">
    <w:name w:val="Texto nota pie Car1"/>
    <w:aliases w:val="Footnote Text Char Char Char Char Char Car,Footnote Text Char Char Char Char Car,Footnote reference Car,FA Fu Car,Texto nota pie Car Car Car Car,Texto nota pie Car Car Car Car Car Car Car Car Car Car Car Car"/>
    <w:link w:val="Textonotapie"/>
    <w:semiHidden/>
    <w:rsid w:val="006D0D44"/>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0F15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15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243736">
      <w:bodyDiv w:val="1"/>
      <w:marLeft w:val="0"/>
      <w:marRight w:val="0"/>
      <w:marTop w:val="0"/>
      <w:marBottom w:val="0"/>
      <w:divBdr>
        <w:top w:val="none" w:sz="0" w:space="0" w:color="auto"/>
        <w:left w:val="none" w:sz="0" w:space="0" w:color="auto"/>
        <w:bottom w:val="none" w:sz="0" w:space="0" w:color="auto"/>
        <w:right w:val="none" w:sz="0" w:space="0" w:color="auto"/>
      </w:divBdr>
    </w:div>
    <w:div w:id="496043528">
      <w:bodyDiv w:val="1"/>
      <w:marLeft w:val="0"/>
      <w:marRight w:val="0"/>
      <w:marTop w:val="0"/>
      <w:marBottom w:val="0"/>
      <w:divBdr>
        <w:top w:val="none" w:sz="0" w:space="0" w:color="auto"/>
        <w:left w:val="none" w:sz="0" w:space="0" w:color="auto"/>
        <w:bottom w:val="none" w:sz="0" w:space="0" w:color="auto"/>
        <w:right w:val="none" w:sz="0" w:space="0" w:color="auto"/>
      </w:divBdr>
    </w:div>
    <w:div w:id="525142953">
      <w:bodyDiv w:val="1"/>
      <w:marLeft w:val="0"/>
      <w:marRight w:val="0"/>
      <w:marTop w:val="0"/>
      <w:marBottom w:val="0"/>
      <w:divBdr>
        <w:top w:val="none" w:sz="0" w:space="0" w:color="auto"/>
        <w:left w:val="none" w:sz="0" w:space="0" w:color="auto"/>
        <w:bottom w:val="none" w:sz="0" w:space="0" w:color="auto"/>
        <w:right w:val="none" w:sz="0" w:space="0" w:color="auto"/>
      </w:divBdr>
    </w:div>
    <w:div w:id="661154784">
      <w:bodyDiv w:val="1"/>
      <w:marLeft w:val="0"/>
      <w:marRight w:val="0"/>
      <w:marTop w:val="0"/>
      <w:marBottom w:val="0"/>
      <w:divBdr>
        <w:top w:val="none" w:sz="0" w:space="0" w:color="auto"/>
        <w:left w:val="none" w:sz="0" w:space="0" w:color="auto"/>
        <w:bottom w:val="none" w:sz="0" w:space="0" w:color="auto"/>
        <w:right w:val="none" w:sz="0" w:space="0" w:color="auto"/>
      </w:divBdr>
    </w:div>
    <w:div w:id="1076393246">
      <w:bodyDiv w:val="1"/>
      <w:marLeft w:val="0"/>
      <w:marRight w:val="0"/>
      <w:marTop w:val="0"/>
      <w:marBottom w:val="0"/>
      <w:divBdr>
        <w:top w:val="none" w:sz="0" w:space="0" w:color="auto"/>
        <w:left w:val="none" w:sz="0" w:space="0" w:color="auto"/>
        <w:bottom w:val="none" w:sz="0" w:space="0" w:color="auto"/>
        <w:right w:val="none" w:sz="0" w:space="0" w:color="auto"/>
      </w:divBdr>
    </w:div>
    <w:div w:id="1263997675">
      <w:bodyDiv w:val="1"/>
      <w:marLeft w:val="0"/>
      <w:marRight w:val="0"/>
      <w:marTop w:val="0"/>
      <w:marBottom w:val="0"/>
      <w:divBdr>
        <w:top w:val="none" w:sz="0" w:space="0" w:color="auto"/>
        <w:left w:val="none" w:sz="0" w:space="0" w:color="auto"/>
        <w:bottom w:val="none" w:sz="0" w:space="0" w:color="auto"/>
        <w:right w:val="none" w:sz="0" w:space="0" w:color="auto"/>
      </w:divBdr>
    </w:div>
    <w:div w:id="184663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24E2E-540A-45BE-B377-993DA0D4B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9</Pages>
  <Words>1525</Words>
  <Characters>8393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Arnulfo Serna Giraldo</dc:creator>
  <cp:keywords/>
  <dc:description/>
  <cp:lastModifiedBy>Arnulfo Serna Giraldo</cp:lastModifiedBy>
  <cp:revision>70</cp:revision>
  <cp:lastPrinted>2018-11-20T21:48:00Z</cp:lastPrinted>
  <dcterms:created xsi:type="dcterms:W3CDTF">2018-10-31T18:16:00Z</dcterms:created>
  <dcterms:modified xsi:type="dcterms:W3CDTF">2018-11-21T11:50:00Z</dcterms:modified>
</cp:coreProperties>
</file>