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AD" w:rsidRDefault="00905FAD">
      <w:pPr>
        <w:rPr>
          <w:lang w:val="es-MX"/>
        </w:rPr>
      </w:pPr>
    </w:p>
    <w:p w:rsidR="00F77262" w:rsidRDefault="00F77262">
      <w:pPr>
        <w:rPr>
          <w:lang w:val="es-MX"/>
        </w:rPr>
      </w:pPr>
    </w:p>
    <w:p w:rsidR="00F77262" w:rsidRPr="00F77262" w:rsidRDefault="00F77262" w:rsidP="00F77262">
      <w:pPr>
        <w:rPr>
          <w:rFonts w:ascii="Comic Sans MS" w:hAnsi="Comic Sans MS"/>
          <w:b/>
          <w:i/>
          <w:iCs/>
          <w:color w:val="auto"/>
          <w:sz w:val="22"/>
          <w:szCs w:val="22"/>
        </w:rPr>
      </w:pPr>
      <w:r w:rsidRPr="00F77262">
        <w:rPr>
          <w:rFonts w:ascii="Comic Sans MS" w:hAnsi="Comic Sans MS"/>
          <w:b/>
          <w:i/>
          <w:iCs/>
          <w:color w:val="auto"/>
          <w:sz w:val="22"/>
          <w:szCs w:val="22"/>
        </w:rPr>
        <w:t>ER033714 DEL 09/06/2016</w:t>
      </w:r>
    </w:p>
    <w:p w:rsidR="00F77262" w:rsidRDefault="00F77262" w:rsidP="00F77262">
      <w:pPr>
        <w:rPr>
          <w:rFonts w:ascii="Comic Sans MS" w:hAnsi="Comic Sans MS"/>
          <w:i/>
          <w:iCs/>
          <w:color w:val="auto"/>
          <w:sz w:val="22"/>
          <w:szCs w:val="22"/>
        </w:rPr>
      </w:pPr>
    </w:p>
    <w:p w:rsidR="00F77262" w:rsidRDefault="00F77262" w:rsidP="00F77262">
      <w:r>
        <w:rPr>
          <w:rFonts w:ascii="Comic Sans MS" w:hAnsi="Comic Sans MS"/>
          <w:i/>
          <w:iCs/>
          <w:color w:val="auto"/>
          <w:sz w:val="22"/>
          <w:szCs w:val="22"/>
        </w:rPr>
        <w:t>Para su conocimiento y fines pertinentes adjunto el listado detallado de los seriales correspondientes a las notarías a las cuales se les grabaron registros civiles de defunción durante abril de 2016.</w:t>
      </w:r>
    </w:p>
    <w:p w:rsidR="00F77262" w:rsidRDefault="00F77262" w:rsidP="00F77262">
      <w:r>
        <w:rPr>
          <w:rFonts w:ascii="Comic Sans MS" w:hAnsi="Comic Sans MS"/>
          <w:i/>
          <w:iCs/>
          <w:color w:val="auto"/>
          <w:sz w:val="22"/>
          <w:szCs w:val="22"/>
        </w:rPr>
        <w:t xml:space="preserve">Cabe mencionar que estos registros </w:t>
      </w:r>
      <w:r>
        <w:rPr>
          <w:rFonts w:ascii="Comic Sans MS" w:hAnsi="Comic Sans MS"/>
          <w:b/>
          <w:bCs/>
          <w:i/>
          <w:iCs/>
          <w:color w:val="auto"/>
          <w:sz w:val="22"/>
          <w:szCs w:val="22"/>
        </w:rPr>
        <w:t>fueron inscritos en meses anteriores a Abril de 2016</w:t>
      </w:r>
      <w:r>
        <w:rPr>
          <w:rFonts w:ascii="Comic Sans MS" w:hAnsi="Comic Sans MS"/>
          <w:i/>
          <w:iCs/>
          <w:color w:val="auto"/>
          <w:sz w:val="22"/>
          <w:szCs w:val="22"/>
        </w:rPr>
        <w:t xml:space="preserve"> y la grabación se efectúa una vez llegan las copias al Servicio Nacional de Inscripción, listado que es generado mensualmente del Sistema de Información de Registro Civil.</w:t>
      </w:r>
    </w:p>
    <w:p w:rsidR="00F77262" w:rsidRDefault="00F77262" w:rsidP="00F77262">
      <w:pPr>
        <w:rPr>
          <w:rFonts w:ascii="Comic Sans MS" w:hAnsi="Comic Sans MS"/>
          <w:b/>
          <w:bCs/>
          <w:i/>
          <w:iCs/>
          <w:sz w:val="22"/>
          <w:szCs w:val="22"/>
        </w:rPr>
      </w:pPr>
      <w:r>
        <w:rPr>
          <w:rFonts w:ascii="Comic Sans MS" w:hAnsi="Comic Sans MS"/>
          <w:b/>
          <w:bCs/>
          <w:i/>
          <w:iCs/>
          <w:color w:val="auto"/>
          <w:sz w:val="22"/>
          <w:szCs w:val="22"/>
        </w:rPr>
        <w:t>El listado es generado automáticamente por el Sistema, del cual se excluyeron aquellos registros que corresponden a reemplazos, fallecidos no identificados con cédula o fallecidos en el exterior.</w:t>
      </w:r>
    </w:p>
    <w:p w:rsidR="00F77262" w:rsidRDefault="00F77262" w:rsidP="00F77262">
      <w:pPr>
        <w:rPr>
          <w:rFonts w:ascii="Comic Sans MS" w:hAnsi="Comic Sans MS"/>
          <w:b/>
          <w:bCs/>
          <w:i/>
          <w:iCs/>
          <w:color w:val="auto"/>
          <w:sz w:val="22"/>
          <w:szCs w:val="22"/>
        </w:rPr>
      </w:pPr>
      <w:r>
        <w:rPr>
          <w:rFonts w:ascii="Comic Sans MS" w:hAnsi="Comic Sans MS"/>
          <w:b/>
          <w:bCs/>
          <w:i/>
          <w:iCs/>
          <w:color w:val="auto"/>
          <w:sz w:val="22"/>
          <w:szCs w:val="22"/>
        </w:rPr>
        <w:t>Doctora Xiomara, quisiera llamar su atención y solicitar la intervención de la Superintendencia teniendo en cuenta que mensualmente se evidencia un incremento en la cantidad de registro que no se portan por parte de las notarías, no dando aplicación a la instrucción del reporte.</w:t>
      </w:r>
    </w:p>
    <w:p w:rsidR="00F77262" w:rsidRDefault="00F77262" w:rsidP="00F77262">
      <w:r>
        <w:rPr>
          <w:rFonts w:ascii="Comic Sans MS" w:hAnsi="Comic Sans MS"/>
          <w:i/>
          <w:iCs/>
          <w:color w:val="auto"/>
          <w:sz w:val="22"/>
          <w:szCs w:val="22"/>
        </w:rPr>
        <w:t xml:space="preserve">Para información de los notarios que lo requieran, adjunto archivo con el detalle por notaria de los registros grabados por la </w:t>
      </w:r>
      <w:proofErr w:type="spellStart"/>
      <w:r>
        <w:rPr>
          <w:rFonts w:ascii="Comic Sans MS" w:hAnsi="Comic Sans MS"/>
          <w:i/>
          <w:iCs/>
          <w:color w:val="auto"/>
          <w:sz w:val="22"/>
          <w:szCs w:val="22"/>
        </w:rPr>
        <w:t>Registraduría</w:t>
      </w:r>
      <w:proofErr w:type="spellEnd"/>
      <w:r>
        <w:rPr>
          <w:rFonts w:ascii="Comic Sans MS" w:hAnsi="Comic Sans MS"/>
          <w:i/>
          <w:iCs/>
          <w:color w:val="auto"/>
          <w:sz w:val="22"/>
          <w:szCs w:val="22"/>
        </w:rPr>
        <w:t>.</w:t>
      </w:r>
    </w:p>
    <w:p w:rsidR="00F77262" w:rsidRDefault="00F77262" w:rsidP="00F77262">
      <w:pPr>
        <w:rPr>
          <w:rFonts w:ascii="Comic Sans MS" w:hAnsi="Comic Sans MS"/>
          <w:i/>
          <w:iCs/>
          <w:color w:val="auto"/>
          <w:sz w:val="22"/>
          <w:szCs w:val="22"/>
          <w:lang w:eastAsia="en-US"/>
        </w:rPr>
      </w:pPr>
    </w:p>
    <w:tbl>
      <w:tblPr>
        <w:tblW w:w="5080" w:type="dxa"/>
        <w:tblCellMar>
          <w:left w:w="0" w:type="dxa"/>
          <w:right w:w="0" w:type="dxa"/>
        </w:tblCellMar>
        <w:tblLook w:val="04A0"/>
      </w:tblPr>
      <w:tblGrid>
        <w:gridCol w:w="3880"/>
        <w:gridCol w:w="1200"/>
      </w:tblGrid>
      <w:tr w:rsidR="00F77262" w:rsidTr="00F77262">
        <w:trPr>
          <w:trHeight w:val="300"/>
        </w:trPr>
        <w:tc>
          <w:tcPr>
            <w:tcW w:w="388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center"/>
              <w:rPr>
                <w:b/>
                <w:bCs/>
              </w:rPr>
            </w:pPr>
            <w:r>
              <w:rPr>
                <w:b/>
                <w:bCs/>
                <w:sz w:val="22"/>
                <w:szCs w:val="22"/>
              </w:rPr>
              <w:t>NOTARIA</w:t>
            </w:r>
          </w:p>
        </w:tc>
        <w:tc>
          <w:tcPr>
            <w:tcW w:w="12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center"/>
              <w:rPr>
                <w:b/>
                <w:bCs/>
              </w:rPr>
            </w:pPr>
            <w:r>
              <w:rPr>
                <w:b/>
                <w:bCs/>
                <w:sz w:val="22"/>
                <w:szCs w:val="22"/>
              </w:rPr>
              <w:t>CANTIDAD</w:t>
            </w:r>
          </w:p>
        </w:tc>
      </w:tr>
      <w:tr w:rsidR="00F77262" w:rsidTr="00F77262">
        <w:trPr>
          <w:trHeight w:val="300"/>
        </w:trPr>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r>
              <w:rPr>
                <w:sz w:val="22"/>
                <w:szCs w:val="22"/>
              </w:rPr>
              <w:t>NOTARIA 2 RIOHACHA</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pPr>
              <w:jc w:val="right"/>
            </w:pPr>
            <w:r>
              <w:rPr>
                <w:sz w:val="22"/>
                <w:szCs w:val="22"/>
              </w:rPr>
              <w:t>257</w:t>
            </w:r>
          </w:p>
        </w:tc>
      </w:tr>
      <w:tr w:rsidR="00F77262" w:rsidTr="00F77262">
        <w:trPr>
          <w:trHeight w:val="300"/>
        </w:trPr>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r>
              <w:rPr>
                <w:sz w:val="22"/>
                <w:szCs w:val="22"/>
              </w:rPr>
              <w:t>NOTARIA 5 ARMENIA</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pPr>
              <w:jc w:val="right"/>
            </w:pPr>
            <w:r>
              <w:rPr>
                <w:sz w:val="22"/>
                <w:szCs w:val="22"/>
              </w:rPr>
              <w:t>74</w:t>
            </w:r>
          </w:p>
        </w:tc>
      </w:tr>
      <w:tr w:rsidR="00F77262" w:rsidTr="00F77262">
        <w:trPr>
          <w:trHeight w:val="300"/>
        </w:trPr>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r>
              <w:rPr>
                <w:sz w:val="22"/>
                <w:szCs w:val="22"/>
              </w:rPr>
              <w:t>NOTARIA 5 NEIVA</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pPr>
              <w:jc w:val="right"/>
            </w:pPr>
            <w:r>
              <w:rPr>
                <w:sz w:val="22"/>
                <w:szCs w:val="22"/>
              </w:rPr>
              <w:t>70</w:t>
            </w:r>
          </w:p>
        </w:tc>
      </w:tr>
      <w:tr w:rsidR="00F77262" w:rsidTr="00F77262">
        <w:trPr>
          <w:trHeight w:val="300"/>
        </w:trPr>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r>
              <w:rPr>
                <w:sz w:val="22"/>
                <w:szCs w:val="22"/>
              </w:rPr>
              <w:t>NOTARIA 10 BARRANQUILLA</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pPr>
              <w:jc w:val="right"/>
            </w:pPr>
            <w:r>
              <w:rPr>
                <w:sz w:val="22"/>
                <w:szCs w:val="22"/>
              </w:rPr>
              <w:t>67</w:t>
            </w:r>
          </w:p>
        </w:tc>
      </w:tr>
      <w:tr w:rsidR="00F77262" w:rsidTr="00F77262">
        <w:trPr>
          <w:trHeight w:val="300"/>
        </w:trPr>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r>
              <w:rPr>
                <w:sz w:val="22"/>
                <w:szCs w:val="22"/>
              </w:rPr>
              <w:t>NOTARIA 23 CALI</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pPr>
              <w:jc w:val="right"/>
            </w:pPr>
            <w:r>
              <w:rPr>
                <w:sz w:val="22"/>
                <w:szCs w:val="22"/>
              </w:rPr>
              <w:t>66</w:t>
            </w:r>
          </w:p>
        </w:tc>
      </w:tr>
      <w:tr w:rsidR="00F77262" w:rsidTr="00F77262">
        <w:trPr>
          <w:trHeight w:val="300"/>
        </w:trPr>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r>
              <w:rPr>
                <w:sz w:val="22"/>
                <w:szCs w:val="22"/>
              </w:rPr>
              <w:t>NOTARIA 7 BARRANQUILLA</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pPr>
              <w:jc w:val="right"/>
            </w:pPr>
            <w:r>
              <w:rPr>
                <w:sz w:val="22"/>
                <w:szCs w:val="22"/>
              </w:rPr>
              <w:t>63</w:t>
            </w:r>
          </w:p>
        </w:tc>
      </w:tr>
      <w:tr w:rsidR="00F77262" w:rsidTr="00F77262">
        <w:trPr>
          <w:trHeight w:val="300"/>
        </w:trPr>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r>
              <w:rPr>
                <w:sz w:val="22"/>
                <w:szCs w:val="22"/>
              </w:rPr>
              <w:t>NOTARIA 1 CHAPARRAL</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pPr>
              <w:jc w:val="right"/>
            </w:pPr>
            <w:r>
              <w:rPr>
                <w:sz w:val="22"/>
                <w:szCs w:val="22"/>
              </w:rPr>
              <w:t>59</w:t>
            </w:r>
          </w:p>
        </w:tc>
      </w:tr>
      <w:tr w:rsidR="00F77262" w:rsidTr="00F77262">
        <w:trPr>
          <w:trHeight w:val="300"/>
        </w:trPr>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r>
              <w:rPr>
                <w:sz w:val="22"/>
                <w:szCs w:val="22"/>
              </w:rPr>
              <w:t>NOTARIA 26 BOGOTA DC</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pPr>
              <w:jc w:val="right"/>
            </w:pPr>
            <w:r>
              <w:rPr>
                <w:sz w:val="22"/>
                <w:szCs w:val="22"/>
              </w:rPr>
              <w:t>54</w:t>
            </w:r>
          </w:p>
        </w:tc>
      </w:tr>
      <w:tr w:rsidR="00F77262" w:rsidTr="00F77262">
        <w:trPr>
          <w:trHeight w:val="300"/>
        </w:trPr>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r>
              <w:rPr>
                <w:sz w:val="22"/>
                <w:szCs w:val="22"/>
              </w:rPr>
              <w:t>NOTARIA 1 BARRANCABERMEJA</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pPr>
              <w:jc w:val="right"/>
            </w:pPr>
            <w:r>
              <w:rPr>
                <w:sz w:val="22"/>
                <w:szCs w:val="22"/>
              </w:rPr>
              <w:t>46</w:t>
            </w:r>
          </w:p>
        </w:tc>
      </w:tr>
      <w:tr w:rsidR="00F77262" w:rsidTr="00F77262">
        <w:trPr>
          <w:trHeight w:val="300"/>
        </w:trPr>
        <w:tc>
          <w:tcPr>
            <w:tcW w:w="0" w:type="auto"/>
            <w:tcBorders>
              <w:top w:val="nil"/>
              <w:left w:val="single" w:sz="8" w:space="0" w:color="auto"/>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r>
              <w:rPr>
                <w:sz w:val="22"/>
                <w:szCs w:val="22"/>
              </w:rPr>
              <w:t>NOTARIA 2 FACATATIVA</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pPr>
              <w:jc w:val="right"/>
            </w:pPr>
            <w:r>
              <w:rPr>
                <w:sz w:val="22"/>
                <w:szCs w:val="22"/>
              </w:rPr>
              <w:t>41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LA VIRGINIA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36</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GIRARDOT</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35</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71 BOGOTA DC</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SANTANDER DE QUILICHAO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26</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33 BOGOTA DC</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DUITAMA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30 DE MEDELLIN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17</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SOACHA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16</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CERETE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15</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lastRenderedPageBreak/>
              <w:t>NOTARIA 1 YARUMAL</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15</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BARANOA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14</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5 BARRANQUILLA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SAN ANDRES DE SOTAVENTO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12 MEDELLIN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6 PEREIRA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COROZAL</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LA TEBAIDA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SAN JOSE DEL GUAVIARE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SOLEDAD</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MORALES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10</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SOLEDAD</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10</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BOLIVAR</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9</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RIONEGRO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9</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PURIFICACION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8</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TURBO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8</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3 IBAGUE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8</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CIENAGA DE ORO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7</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9 CALI</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7</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BARRANCAS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6</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EL CHARCO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6</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SINCE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6</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21 BOGOTA DC</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6</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5 MANIZALES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6</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GARAGOA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5</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4 PALMIRA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5</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6 CARTAGENA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5</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68 BOGOTA DC</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5</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ANSERMANUEVO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4</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BUENOS AIRES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4</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GUATICA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4</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LA DORADA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4</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OCAÑA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4</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TIERRALTA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4</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3 MANIZALES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4</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7 CUCUTA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4</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8 CALI</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4</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ANORI</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BELEN DE UMBRIA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EL CARMEN DE BOLIVAR</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EL ZULIA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FONSECA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ISTMINA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SANTA ANA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VITERBO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10 MEDELLIN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SINCELEJO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5 BUCARAMANGA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5 PEREIRA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6 CALI</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3</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CIENAGA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CORINTO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CUCUTA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MAGANGUE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MEDINA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MISTRATO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PIEDECUESTA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PUEBLORRICO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REMEDIOS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SAMANA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TAMESIS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VILLA ROSARIO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ZARAGOZA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CARTAGENA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CHINCHINA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SOGAMOSO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3 NEIVA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4 PEREIRA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8 BARRANQUILLA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2</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ANGOSTURA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BOGOTA DC</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BUGA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CARTAGO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COPACABANA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DUITAMA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GARZON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GIRON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IPIALES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LA PALMA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LA PLATA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MALAMBO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MANATI</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MARSELLA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MELGAR</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MONTERIA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PLANETA RICA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PUERTO BOYACA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PUERTO CARREÑO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RIONEGRO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SALGAR</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SAN JUAN DE URABA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SANTO TOMAS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SEVILLA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SUPIA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TENZA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TULUA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VALPARAISO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 VILLANUEVA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11 CALI</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19 MEDELLIN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BOGOTA DC</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BUGA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NEIVA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PEREIRA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SOCORRO</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TUQUERRES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 YARUMAL</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27 MEDELLIN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3 BARRANQUILLA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3 CUCUTA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3 VALLEDUPAR</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4 NEIVA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40 BOGOTA DC</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42 BOGOTA DC</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5 MEDELLIN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62 BOGOTA DC</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NOTARIA 9 BUCARAMANGA</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F77262" w:rsidRDefault="00F77262">
            <w:pPr>
              <w:jc w:val="right"/>
            </w:pPr>
            <w:r>
              <w:rPr>
                <w:sz w:val="22"/>
                <w:szCs w:val="22"/>
              </w:rPr>
              <w:t>1</w:t>
            </w:r>
          </w:p>
        </w:tc>
      </w:tr>
      <w:tr w:rsidR="00F77262" w:rsidTr="00F77262">
        <w:trPr>
          <w:trHeight w:val="30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F77262" w:rsidRDefault="00F77262">
            <w:r>
              <w:rPr>
                <w:sz w:val="22"/>
                <w:szCs w:val="22"/>
              </w:rPr>
              <w:t>Total general</w:t>
            </w:r>
          </w:p>
        </w:tc>
        <w:tc>
          <w:tcPr>
            <w:tcW w:w="0" w:type="auto"/>
            <w:tcBorders>
              <w:top w:val="nil"/>
              <w:left w:val="nil"/>
              <w:bottom w:val="single" w:sz="8" w:space="0" w:color="auto"/>
              <w:right w:val="single" w:sz="8" w:space="0" w:color="auto"/>
            </w:tcBorders>
            <w:shd w:val="clear" w:color="auto" w:fill="FFFF00"/>
            <w:noWrap/>
            <w:tcMar>
              <w:top w:w="15" w:type="dxa"/>
              <w:left w:w="15" w:type="dxa"/>
              <w:bottom w:w="0" w:type="dxa"/>
              <w:right w:w="15" w:type="dxa"/>
            </w:tcMar>
            <w:vAlign w:val="bottom"/>
            <w:hideMark/>
          </w:tcPr>
          <w:p w:rsidR="00F77262" w:rsidRDefault="00F77262">
            <w:pPr>
              <w:jc w:val="right"/>
            </w:pPr>
            <w:r>
              <w:rPr>
                <w:sz w:val="22"/>
                <w:szCs w:val="22"/>
              </w:rPr>
              <w:t>1425</w:t>
            </w:r>
          </w:p>
        </w:tc>
      </w:tr>
    </w:tbl>
    <w:p w:rsidR="00F77262" w:rsidRDefault="00F77262" w:rsidP="00F77262">
      <w:pPr>
        <w:rPr>
          <w:rFonts w:ascii="Comic Sans MS" w:hAnsi="Comic Sans MS"/>
          <w:i/>
          <w:iCs/>
          <w:color w:val="auto"/>
          <w:sz w:val="22"/>
          <w:szCs w:val="22"/>
        </w:rPr>
      </w:pPr>
      <w:r>
        <w:rPr>
          <w:rFonts w:ascii="Comic Sans MS" w:hAnsi="Comic Sans MS"/>
          <w:i/>
          <w:iCs/>
          <w:color w:val="auto"/>
          <w:sz w:val="22"/>
          <w:szCs w:val="22"/>
        </w:rPr>
        <w:t>Cordialmente,</w:t>
      </w:r>
    </w:p>
    <w:p w:rsidR="00F77262" w:rsidRDefault="00F77262" w:rsidP="00F77262">
      <w:pPr>
        <w:rPr>
          <w:rFonts w:ascii="Comic Sans MS" w:hAnsi="Comic Sans MS"/>
          <w:i/>
          <w:iCs/>
          <w:color w:val="auto"/>
          <w:sz w:val="22"/>
          <w:szCs w:val="22"/>
        </w:rPr>
      </w:pPr>
      <w:r>
        <w:rPr>
          <w:rFonts w:ascii="Comic Sans MS" w:hAnsi="Comic Sans MS"/>
          <w:i/>
          <w:iCs/>
          <w:noProof/>
          <w:color w:val="auto"/>
          <w:sz w:val="22"/>
          <w:szCs w:val="22"/>
        </w:rPr>
        <w:drawing>
          <wp:inline distT="0" distB="0" distL="0" distR="0">
            <wp:extent cx="5610225" cy="1400175"/>
            <wp:effectExtent l="19050" t="0" r="9525" b="0"/>
            <wp:docPr id="1" name="Imagen 1" descr="Modelo de firma para correo_pp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odelo de firma para correo_ppt_2"/>
                    <pic:cNvPicPr>
                      <a:picLocks noChangeAspect="1" noChangeArrowheads="1"/>
                    </pic:cNvPicPr>
                  </pic:nvPicPr>
                  <pic:blipFill>
                    <a:blip r:embed="rId4" r:link="rId5" cstate="print"/>
                    <a:srcRect/>
                    <a:stretch>
                      <a:fillRect/>
                    </a:stretch>
                  </pic:blipFill>
                  <pic:spPr bwMode="auto">
                    <a:xfrm>
                      <a:off x="0" y="0"/>
                      <a:ext cx="5610225" cy="1400175"/>
                    </a:xfrm>
                    <a:prstGeom prst="rect">
                      <a:avLst/>
                    </a:prstGeom>
                    <a:noFill/>
                    <a:ln w="9525">
                      <a:noFill/>
                      <a:miter lim="800000"/>
                      <a:headEnd/>
                      <a:tailEnd/>
                    </a:ln>
                  </pic:spPr>
                </pic:pic>
              </a:graphicData>
            </a:graphic>
          </wp:inline>
        </w:drawing>
      </w:r>
    </w:p>
    <w:p w:rsidR="00F77262" w:rsidRDefault="00F77262" w:rsidP="00F77262">
      <w:pPr>
        <w:rPr>
          <w:rFonts w:ascii="Comic Sans MS" w:hAnsi="Comic Sans MS"/>
          <w:i/>
          <w:iCs/>
          <w:color w:val="auto"/>
          <w:sz w:val="22"/>
          <w:szCs w:val="22"/>
          <w:lang w:eastAsia="en-US"/>
        </w:rPr>
      </w:pPr>
    </w:p>
    <w:p w:rsidR="00F77262" w:rsidRPr="00F77262" w:rsidRDefault="00F77262">
      <w:pPr>
        <w:rPr>
          <w:lang w:val="es-MX"/>
        </w:rPr>
      </w:pPr>
    </w:p>
    <w:sectPr w:rsidR="00F77262" w:rsidRPr="00F77262" w:rsidSect="00905FA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7262"/>
    <w:rsid w:val="001A380C"/>
    <w:rsid w:val="00905FAD"/>
    <w:rsid w:val="00950791"/>
    <w:rsid w:val="00F7726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62"/>
    <w:pPr>
      <w:spacing w:after="0" w:line="240" w:lineRule="auto"/>
    </w:pPr>
    <w:rPr>
      <w:rFonts w:ascii="Calibri" w:hAnsi="Calibri" w:cs="Times New Roman"/>
      <w:color w:val="000000"/>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7262"/>
    <w:rPr>
      <w:rFonts w:ascii="Tahoma" w:hAnsi="Tahoma" w:cs="Tahoma"/>
      <w:sz w:val="16"/>
      <w:szCs w:val="16"/>
    </w:rPr>
  </w:style>
  <w:style w:type="character" w:customStyle="1" w:styleId="TextodegloboCar">
    <w:name w:val="Texto de globo Car"/>
    <w:basedOn w:val="Fuentedeprrafopredeter"/>
    <w:link w:val="Textodeglobo"/>
    <w:uiPriority w:val="99"/>
    <w:semiHidden/>
    <w:rsid w:val="00F77262"/>
    <w:rPr>
      <w:rFonts w:ascii="Tahoma" w:hAnsi="Tahoma" w:cs="Tahoma"/>
      <w:color w:val="000000"/>
      <w:sz w:val="16"/>
      <w:szCs w:val="16"/>
      <w:lang w:eastAsia="es-CO"/>
    </w:rPr>
  </w:style>
</w:styles>
</file>

<file path=word/webSettings.xml><?xml version="1.0" encoding="utf-8"?>
<w:webSettings xmlns:r="http://schemas.openxmlformats.org/officeDocument/2006/relationships" xmlns:w="http://schemas.openxmlformats.org/wordprocessingml/2006/main">
  <w:divs>
    <w:div w:id="17766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19727.AA4E4530"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658</Words>
  <Characters>3620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VicXiomara</dc:creator>
  <cp:lastModifiedBy>DMS1</cp:lastModifiedBy>
  <cp:revision>1</cp:revision>
  <dcterms:created xsi:type="dcterms:W3CDTF">2016-06-09T14:41:00Z</dcterms:created>
  <dcterms:modified xsi:type="dcterms:W3CDTF">2016-09-06T20:00:00Z</dcterms:modified>
</cp:coreProperties>
</file>